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widowControl w:val="0"/>
        <w:spacing w:before="0" w:after="0" w:line="360" w:lineRule="auto"/>
        <w:jc w:val="both"/>
        <w:rPr>
          <w:rFonts w:ascii="黑体" w:hAnsi="黑体" w:eastAsia="黑体"/>
          <w:b w:val="0"/>
          <w:i w:val="0"/>
          <w:iCs w:val="0"/>
          <w:kern w:val="2"/>
          <w:sz w:val="32"/>
          <w:szCs w:val="32"/>
          <w:lang w:eastAsia="zh-CN"/>
        </w:rPr>
      </w:pPr>
      <w:bookmarkStart w:id="0" w:name="_Toc317255387"/>
      <w:r>
        <w:rPr>
          <w:rFonts w:hint="eastAsia" w:ascii="黑体" w:hAnsi="黑体" w:eastAsia="黑体"/>
          <w:b w:val="0"/>
          <w:i w:val="0"/>
          <w:iCs w:val="0"/>
          <w:kern w:val="2"/>
          <w:sz w:val="32"/>
          <w:szCs w:val="32"/>
          <w:lang w:eastAsia="zh-CN"/>
        </w:rPr>
        <w:t>附件</w:t>
      </w:r>
      <w:bookmarkEnd w:id="0"/>
      <w:r>
        <w:rPr>
          <w:rFonts w:ascii="黑体" w:hAnsi="黑体" w:eastAsia="黑体"/>
          <w:b w:val="0"/>
          <w:i w:val="0"/>
          <w:iCs w:val="0"/>
          <w:kern w:val="2"/>
          <w:sz w:val="32"/>
          <w:szCs w:val="32"/>
          <w:lang w:eastAsia="zh-CN"/>
        </w:rPr>
        <w:t>2</w:t>
      </w:r>
      <w:bookmarkStart w:id="1" w:name="_Toc317255388"/>
      <w:bookmarkStart w:id="2" w:name="_Toc288641474"/>
      <w:r>
        <w:rPr>
          <w:rFonts w:hint="eastAsia" w:ascii="黑体" w:hAnsi="黑体" w:eastAsia="黑体"/>
          <w:b w:val="0"/>
          <w:i w:val="0"/>
          <w:iCs w:val="0"/>
          <w:kern w:val="2"/>
          <w:sz w:val="32"/>
          <w:szCs w:val="32"/>
          <w:lang w:eastAsia="zh-CN"/>
        </w:rPr>
        <w:t>：</w:t>
      </w:r>
    </w:p>
    <w:p>
      <w:pPr>
        <w:pStyle w:val="2"/>
        <w:keepNext w:val="0"/>
        <w:widowControl w:val="0"/>
        <w:spacing w:before="0" w:after="0" w:line="360" w:lineRule="auto"/>
        <w:jc w:val="center"/>
        <w:rPr>
          <w:rFonts w:ascii="华文中宋" w:hAnsi="华文中宋" w:eastAsia="华文中宋"/>
          <w:b w:val="0"/>
          <w:i w:val="0"/>
          <w:iCs w:val="0"/>
          <w:kern w:val="2"/>
          <w:sz w:val="32"/>
          <w:szCs w:val="32"/>
          <w:lang w:eastAsia="zh-CN"/>
        </w:rPr>
      </w:pPr>
      <w:r>
        <w:rPr>
          <w:rFonts w:hint="eastAsia" w:ascii="华文中宋" w:hAnsi="华文中宋" w:eastAsia="华文中宋"/>
          <w:b w:val="0"/>
          <w:i w:val="0"/>
          <w:sz w:val="44"/>
          <w:szCs w:val="44"/>
          <w:lang w:eastAsia="zh-CN"/>
        </w:rPr>
        <w:t>新设立托幼机构招生前卫生评价表</w:t>
      </w:r>
      <w:bookmarkEnd w:id="1"/>
      <w:bookmarkEnd w:id="2"/>
    </w:p>
    <w:tbl>
      <w:tblPr>
        <w:tblStyle w:val="5"/>
        <w:tblW w:w="1020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67"/>
        <w:gridCol w:w="772"/>
        <w:gridCol w:w="6077"/>
        <w:gridCol w:w="1148"/>
        <w:gridCol w:w="678"/>
        <w:gridCol w:w="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21" w:hRule="atLeast"/>
          <w:tblHeader/>
          <w:jc w:val="center"/>
        </w:trPr>
        <w:tc>
          <w:tcPr>
            <w:tcW w:w="867" w:type="dxa"/>
            <w:vAlign w:val="center"/>
          </w:tcPr>
          <w:p>
            <w:pPr>
              <w:spacing w:line="360" w:lineRule="exact"/>
              <w:jc w:val="center"/>
              <w:rPr>
                <w:rFonts w:ascii="宋体"/>
                <w:b/>
              </w:rPr>
            </w:pPr>
            <w:r>
              <w:rPr>
                <w:rFonts w:hint="eastAsia" w:ascii="宋体" w:hAnsi="宋体"/>
                <w:b/>
              </w:rPr>
              <w:t>评价内容</w:t>
            </w:r>
          </w:p>
        </w:tc>
        <w:tc>
          <w:tcPr>
            <w:tcW w:w="772" w:type="dxa"/>
            <w:vAlign w:val="center"/>
          </w:tcPr>
          <w:p>
            <w:pPr>
              <w:spacing w:line="360" w:lineRule="exact"/>
              <w:jc w:val="center"/>
              <w:rPr>
                <w:rFonts w:ascii="宋体"/>
                <w:b/>
              </w:rPr>
            </w:pPr>
            <w:r>
              <w:rPr>
                <w:rFonts w:hint="eastAsia" w:ascii="宋体" w:hAnsi="宋体"/>
                <w:b/>
              </w:rPr>
              <w:t>分值</w:t>
            </w:r>
          </w:p>
        </w:tc>
        <w:tc>
          <w:tcPr>
            <w:tcW w:w="6077" w:type="dxa"/>
            <w:vAlign w:val="center"/>
          </w:tcPr>
          <w:p>
            <w:pPr>
              <w:spacing w:line="360" w:lineRule="exact"/>
              <w:jc w:val="center"/>
              <w:rPr>
                <w:rFonts w:ascii="宋体"/>
                <w:b/>
              </w:rPr>
            </w:pPr>
            <w:r>
              <w:rPr>
                <w:rFonts w:hint="eastAsia" w:ascii="宋体" w:hAnsi="宋体"/>
                <w:b/>
              </w:rPr>
              <w:t>评价标准</w:t>
            </w:r>
          </w:p>
        </w:tc>
        <w:tc>
          <w:tcPr>
            <w:tcW w:w="1148" w:type="dxa"/>
            <w:vAlign w:val="center"/>
          </w:tcPr>
          <w:p>
            <w:pPr>
              <w:spacing w:line="360" w:lineRule="exact"/>
              <w:jc w:val="center"/>
              <w:rPr>
                <w:rFonts w:ascii="宋体"/>
                <w:b/>
              </w:rPr>
            </w:pPr>
            <w:r>
              <w:rPr>
                <w:rFonts w:hint="eastAsia" w:ascii="宋体" w:hAnsi="宋体"/>
                <w:b/>
              </w:rPr>
              <w:t>评价方法</w:t>
            </w:r>
          </w:p>
        </w:tc>
        <w:tc>
          <w:tcPr>
            <w:tcW w:w="678" w:type="dxa"/>
            <w:vAlign w:val="center"/>
          </w:tcPr>
          <w:p>
            <w:pPr>
              <w:spacing w:line="360" w:lineRule="exact"/>
              <w:jc w:val="center"/>
              <w:rPr>
                <w:rFonts w:ascii="宋体"/>
                <w:b/>
              </w:rPr>
            </w:pPr>
            <w:r>
              <w:rPr>
                <w:rFonts w:hint="eastAsia" w:ascii="宋体" w:hAnsi="宋体"/>
                <w:b/>
              </w:rPr>
              <w:t>得分</w:t>
            </w:r>
          </w:p>
        </w:tc>
        <w:tc>
          <w:tcPr>
            <w:tcW w:w="663" w:type="dxa"/>
            <w:vAlign w:val="center"/>
          </w:tcPr>
          <w:p>
            <w:pPr>
              <w:spacing w:line="360" w:lineRule="exact"/>
              <w:jc w:val="center"/>
              <w:rPr>
                <w:rFonts w:ascii="宋体"/>
                <w:b/>
              </w:rPr>
            </w:pPr>
            <w:r>
              <w:rPr>
                <w:rFonts w:hint="eastAsia" w:ascii="宋体" w:hAnsi="宋体"/>
                <w:b/>
              </w:rPr>
              <w:t>评价</w:t>
            </w:r>
            <w:r>
              <w:rPr>
                <w:rFonts w:ascii="宋体" w:hAnsi="宋体"/>
                <w:b/>
              </w:rPr>
              <w:t xml:space="preserve"> </w:t>
            </w:r>
            <w:r>
              <w:rPr>
                <w:rFonts w:hint="eastAsia" w:ascii="宋体" w:hAnsi="宋体"/>
                <w:b/>
              </w:rPr>
              <w:t>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0" w:hRule="atLeast"/>
          <w:jc w:val="center"/>
        </w:trPr>
        <w:tc>
          <w:tcPr>
            <w:tcW w:w="867" w:type="dxa"/>
            <w:vMerge w:val="restart"/>
            <w:vAlign w:val="center"/>
          </w:tcPr>
          <w:p>
            <w:pPr>
              <w:spacing w:line="360" w:lineRule="exact"/>
              <w:jc w:val="center"/>
              <w:rPr>
                <w:rFonts w:ascii="宋体"/>
                <w:b/>
                <w:bCs/>
              </w:rPr>
            </w:pPr>
            <w:r>
              <w:rPr>
                <w:rFonts w:hint="eastAsia" w:ascii="宋体" w:hAnsi="宋体"/>
                <w:b/>
                <w:bCs/>
              </w:rPr>
              <w:t>环</w:t>
            </w:r>
          </w:p>
          <w:p>
            <w:pPr>
              <w:spacing w:line="360" w:lineRule="exact"/>
              <w:jc w:val="center"/>
              <w:rPr>
                <w:rFonts w:ascii="宋体"/>
                <w:b/>
                <w:bCs/>
              </w:rPr>
            </w:pPr>
            <w:r>
              <w:rPr>
                <w:rFonts w:hint="eastAsia" w:ascii="宋体" w:hAnsi="宋体"/>
                <w:b/>
                <w:bCs/>
              </w:rPr>
              <w:t>境</w:t>
            </w:r>
          </w:p>
          <w:p>
            <w:pPr>
              <w:spacing w:line="360" w:lineRule="exact"/>
              <w:jc w:val="center"/>
              <w:rPr>
                <w:rFonts w:ascii="宋体"/>
                <w:b/>
                <w:bCs/>
              </w:rPr>
            </w:pPr>
            <w:r>
              <w:rPr>
                <w:rFonts w:hint="eastAsia" w:ascii="宋体" w:hAnsi="宋体"/>
                <w:b/>
                <w:bCs/>
              </w:rPr>
              <w:t>卫</w:t>
            </w:r>
          </w:p>
          <w:p>
            <w:pPr>
              <w:spacing w:line="360" w:lineRule="exact"/>
              <w:jc w:val="center"/>
              <w:rPr>
                <w:rFonts w:ascii="宋体"/>
                <w:b/>
                <w:bCs/>
              </w:rPr>
            </w:pPr>
            <w:r>
              <w:rPr>
                <w:rFonts w:hint="eastAsia" w:ascii="宋体" w:hAnsi="宋体"/>
                <w:b/>
                <w:bCs/>
              </w:rPr>
              <w:t>生</w:t>
            </w:r>
          </w:p>
        </w:tc>
        <w:tc>
          <w:tcPr>
            <w:tcW w:w="772" w:type="dxa"/>
            <w:vMerge w:val="restart"/>
            <w:vAlign w:val="center"/>
          </w:tcPr>
          <w:p>
            <w:pPr>
              <w:spacing w:line="360" w:lineRule="exact"/>
              <w:rPr>
                <w:rFonts w:ascii="宋体"/>
              </w:rPr>
            </w:pPr>
            <w:r>
              <w:rPr>
                <w:rFonts w:ascii="宋体" w:hAnsi="宋体"/>
              </w:rPr>
              <w:t>20</w:t>
            </w:r>
            <w:r>
              <w:rPr>
                <w:rFonts w:hint="eastAsia" w:ascii="宋体" w:hAnsi="宋体"/>
              </w:rPr>
              <w:t>分</w:t>
            </w:r>
          </w:p>
        </w:tc>
        <w:tc>
          <w:tcPr>
            <w:tcW w:w="6077" w:type="dxa"/>
            <w:vAlign w:val="center"/>
          </w:tcPr>
          <w:p>
            <w:pPr>
              <w:numPr>
                <w:ilvl w:val="0"/>
                <w:numId w:val="1"/>
              </w:numPr>
              <w:spacing w:line="360" w:lineRule="exact"/>
              <w:rPr>
                <w:rFonts w:ascii="宋体"/>
                <w:szCs w:val="21"/>
              </w:rPr>
            </w:pPr>
            <w:r>
              <w:rPr>
                <w:rFonts w:hint="eastAsia" w:ascii="宋体" w:hAnsi="宋体"/>
                <w:bCs/>
                <w:szCs w:val="21"/>
              </w:rPr>
              <w:t>园（所）内建筑物、户外场地、绿化用地及杂物堆放场地等总体布局合理，有明确功能分区（</w:t>
            </w:r>
            <w:r>
              <w:rPr>
                <w:rFonts w:ascii="宋体" w:hAnsi="宋体"/>
                <w:bCs/>
                <w:szCs w:val="21"/>
              </w:rPr>
              <w:t>2</w:t>
            </w:r>
            <w:r>
              <w:rPr>
                <w:rFonts w:hint="eastAsia" w:ascii="宋体" w:hAnsi="宋体"/>
                <w:bCs/>
                <w:szCs w:val="21"/>
              </w:rPr>
              <w:t>分）</w:t>
            </w:r>
          </w:p>
          <w:p>
            <w:pPr>
              <w:numPr>
                <w:ilvl w:val="0"/>
                <w:numId w:val="1"/>
              </w:numPr>
              <w:spacing w:line="360" w:lineRule="exact"/>
              <w:rPr>
                <w:rFonts w:ascii="宋体"/>
                <w:szCs w:val="21"/>
              </w:rPr>
            </w:pPr>
            <w:r>
              <w:rPr>
                <w:rFonts w:hint="eastAsia"/>
                <w:color w:val="000000"/>
                <w:szCs w:val="21"/>
              </w:rPr>
              <w:t>室外活动场地地面应平整、防滑，无障碍，无尖锐突出物</w:t>
            </w:r>
            <w:r>
              <w:rPr>
                <w:rFonts w:hint="eastAsia" w:ascii="宋体" w:hAnsi="宋体"/>
                <w:bCs/>
                <w:szCs w:val="21"/>
              </w:rPr>
              <w:t>（</w:t>
            </w:r>
            <w:r>
              <w:rPr>
                <w:rFonts w:ascii="宋体" w:hAnsi="宋体"/>
                <w:bCs/>
                <w:szCs w:val="21"/>
              </w:rPr>
              <w:t>2</w:t>
            </w:r>
            <w:r>
              <w:rPr>
                <w:rFonts w:hint="eastAsia" w:ascii="宋体" w:hAnsi="宋体"/>
                <w:bCs/>
                <w:szCs w:val="21"/>
              </w:rPr>
              <w:t>分）</w:t>
            </w:r>
          </w:p>
          <w:p>
            <w:pPr>
              <w:numPr>
                <w:ilvl w:val="0"/>
                <w:numId w:val="1"/>
              </w:numPr>
              <w:spacing w:line="360" w:lineRule="exact"/>
              <w:rPr>
                <w:rFonts w:ascii="宋体"/>
                <w:bCs/>
              </w:rPr>
            </w:pPr>
            <w:r>
              <w:rPr>
                <w:rFonts w:hint="eastAsia" w:ascii="宋体" w:hAnsi="宋体"/>
                <w:bCs/>
                <w:szCs w:val="21"/>
              </w:rPr>
              <w:t>活动器材安全性符合国家相关规定（</w:t>
            </w:r>
            <w:r>
              <w:rPr>
                <w:rFonts w:ascii="宋体" w:hAnsi="宋体"/>
                <w:bCs/>
                <w:szCs w:val="21"/>
              </w:rPr>
              <w:t>1</w:t>
            </w:r>
            <w:r>
              <w:rPr>
                <w:rFonts w:hint="eastAsia" w:ascii="宋体" w:hAnsi="宋体"/>
                <w:bCs/>
                <w:szCs w:val="21"/>
              </w:rPr>
              <w:t>分）</w:t>
            </w:r>
          </w:p>
          <w:p>
            <w:pPr>
              <w:numPr>
                <w:ilvl w:val="0"/>
                <w:numId w:val="1"/>
              </w:numPr>
              <w:spacing w:line="360" w:lineRule="exact"/>
              <w:rPr>
                <w:rFonts w:ascii="宋体"/>
                <w:bCs/>
              </w:rPr>
            </w:pPr>
            <w:r>
              <w:rPr>
                <w:rFonts w:hint="eastAsia" w:ascii="宋体" w:hAnsi="宋体"/>
                <w:bCs/>
                <w:szCs w:val="21"/>
              </w:rPr>
              <w:t>未种植有毒、带刺的植物（</w:t>
            </w:r>
            <w:r>
              <w:rPr>
                <w:rFonts w:ascii="宋体" w:hAnsi="宋体"/>
                <w:bCs/>
                <w:szCs w:val="21"/>
              </w:rPr>
              <w:t>1</w:t>
            </w:r>
            <w:r>
              <w:rPr>
                <w:rFonts w:hint="eastAsia" w:ascii="宋体" w:hAnsi="宋体"/>
                <w:bCs/>
                <w:szCs w:val="21"/>
              </w:rPr>
              <w:t>分）</w:t>
            </w:r>
          </w:p>
        </w:tc>
        <w:tc>
          <w:tcPr>
            <w:tcW w:w="1148" w:type="dxa"/>
            <w:vAlign w:val="center"/>
          </w:tcPr>
          <w:p>
            <w:pPr>
              <w:spacing w:line="360" w:lineRule="exact"/>
              <w:rPr>
                <w:rFonts w:ascii="宋体"/>
              </w:rPr>
            </w:pPr>
            <w:r>
              <w:rPr>
                <w:rFonts w:hint="eastAsia" w:ascii="宋体" w:hAnsi="宋体"/>
              </w:rPr>
              <w:t>查看现场</w:t>
            </w:r>
          </w:p>
        </w:tc>
        <w:tc>
          <w:tcPr>
            <w:tcW w:w="678" w:type="dxa"/>
            <w:vMerge w:val="restart"/>
          </w:tcPr>
          <w:p>
            <w:pPr>
              <w:spacing w:line="360" w:lineRule="exact"/>
              <w:rPr>
                <w:rFonts w:ascii="宋体"/>
              </w:rPr>
            </w:pPr>
          </w:p>
        </w:tc>
        <w:tc>
          <w:tcPr>
            <w:tcW w:w="663" w:type="dxa"/>
            <w:vMerge w:val="restart"/>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00" w:hRule="atLeast"/>
          <w:jc w:val="center"/>
        </w:trPr>
        <w:tc>
          <w:tcPr>
            <w:tcW w:w="867" w:type="dxa"/>
            <w:vMerge w:val="continue"/>
            <w:vAlign w:val="center"/>
          </w:tcPr>
          <w:p>
            <w:pPr>
              <w:widowControl/>
              <w:jc w:val="left"/>
              <w:rPr>
                <w:rFonts w:ascii="宋体"/>
                <w:b/>
                <w:bCs/>
              </w:rPr>
            </w:pPr>
          </w:p>
        </w:tc>
        <w:tc>
          <w:tcPr>
            <w:tcW w:w="772" w:type="dxa"/>
            <w:vMerge w:val="continue"/>
            <w:vAlign w:val="center"/>
          </w:tcPr>
          <w:p>
            <w:pPr>
              <w:widowControl/>
              <w:jc w:val="left"/>
              <w:rPr>
                <w:rFonts w:ascii="宋体"/>
              </w:rPr>
            </w:pPr>
          </w:p>
        </w:tc>
        <w:tc>
          <w:tcPr>
            <w:tcW w:w="6077" w:type="dxa"/>
            <w:vAlign w:val="center"/>
          </w:tcPr>
          <w:p>
            <w:pPr>
              <w:widowControl/>
              <w:numPr>
                <w:ilvl w:val="0"/>
                <w:numId w:val="1"/>
              </w:numPr>
              <w:spacing w:line="360" w:lineRule="exact"/>
              <w:jc w:val="left"/>
              <w:rPr>
                <w:rFonts w:ascii="宋体"/>
                <w:bCs/>
              </w:rPr>
            </w:pPr>
            <w:r>
              <w:rPr>
                <w:rFonts w:hint="eastAsia" w:ascii="宋体" w:hAnsi="宋体"/>
                <w:bCs/>
              </w:rPr>
              <w:t>室内环境的甲醛、苯及苯系物等检测结果符合国家要求（</w:t>
            </w:r>
            <w:r>
              <w:rPr>
                <w:rFonts w:ascii="宋体" w:hAnsi="宋体"/>
                <w:bCs/>
              </w:rPr>
              <w:t>4</w:t>
            </w:r>
            <w:r>
              <w:rPr>
                <w:rFonts w:hint="eastAsia" w:ascii="宋体" w:hAnsi="宋体"/>
                <w:bCs/>
              </w:rPr>
              <w:t>分）</w:t>
            </w:r>
          </w:p>
        </w:tc>
        <w:tc>
          <w:tcPr>
            <w:tcW w:w="1148" w:type="dxa"/>
            <w:vAlign w:val="center"/>
          </w:tcPr>
          <w:p>
            <w:pPr>
              <w:spacing w:line="360" w:lineRule="exact"/>
              <w:rPr>
                <w:rFonts w:ascii="宋体"/>
              </w:rPr>
            </w:pPr>
            <w:r>
              <w:rPr>
                <w:rFonts w:hint="eastAsia" w:ascii="宋体" w:hAnsi="宋体"/>
              </w:rPr>
              <w:t>查验检测</w:t>
            </w:r>
          </w:p>
          <w:p>
            <w:pPr>
              <w:spacing w:line="360" w:lineRule="exact"/>
              <w:rPr>
                <w:rFonts w:ascii="宋体"/>
              </w:rPr>
            </w:pPr>
            <w:r>
              <w:rPr>
                <w:rFonts w:hint="eastAsia" w:ascii="宋体" w:hAnsi="宋体"/>
              </w:rPr>
              <w:t>报告</w:t>
            </w:r>
          </w:p>
        </w:tc>
        <w:tc>
          <w:tcPr>
            <w:tcW w:w="678" w:type="dxa"/>
            <w:vMerge w:val="continue"/>
            <w:vAlign w:val="center"/>
          </w:tcPr>
          <w:p>
            <w:pPr>
              <w:widowControl/>
              <w:jc w:val="left"/>
              <w:rPr>
                <w:rFonts w:ascii="宋体"/>
              </w:rPr>
            </w:pPr>
          </w:p>
        </w:tc>
        <w:tc>
          <w:tcPr>
            <w:tcW w:w="663" w:type="dxa"/>
            <w:vMerge w:val="continue"/>
            <w:vAlign w:val="center"/>
          </w:tcPr>
          <w:p>
            <w:pPr>
              <w:widowControl/>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42" w:hRule="atLeast"/>
          <w:jc w:val="center"/>
        </w:trPr>
        <w:tc>
          <w:tcPr>
            <w:tcW w:w="867" w:type="dxa"/>
            <w:vMerge w:val="continue"/>
            <w:vAlign w:val="center"/>
          </w:tcPr>
          <w:p>
            <w:pPr>
              <w:widowControl/>
              <w:jc w:val="left"/>
              <w:rPr>
                <w:rFonts w:ascii="宋体"/>
                <w:b/>
                <w:bCs/>
              </w:rPr>
            </w:pPr>
          </w:p>
        </w:tc>
        <w:tc>
          <w:tcPr>
            <w:tcW w:w="772" w:type="dxa"/>
            <w:vMerge w:val="continue"/>
            <w:vAlign w:val="center"/>
          </w:tcPr>
          <w:p>
            <w:pPr>
              <w:widowControl/>
              <w:jc w:val="left"/>
              <w:rPr>
                <w:rFonts w:ascii="宋体"/>
              </w:rPr>
            </w:pPr>
          </w:p>
        </w:tc>
        <w:tc>
          <w:tcPr>
            <w:tcW w:w="6077" w:type="dxa"/>
            <w:vAlign w:val="center"/>
          </w:tcPr>
          <w:p>
            <w:pPr>
              <w:widowControl/>
              <w:numPr>
                <w:ilvl w:val="0"/>
                <w:numId w:val="1"/>
              </w:numPr>
              <w:spacing w:line="360" w:lineRule="exact"/>
              <w:jc w:val="left"/>
              <w:rPr>
                <w:rFonts w:ascii="宋体"/>
                <w:bCs/>
              </w:rPr>
            </w:pPr>
            <w:r>
              <w:rPr>
                <w:rFonts w:hint="eastAsia" w:ascii="宋体" w:hAnsi="宋体"/>
                <w:bCs/>
              </w:rPr>
              <w:t>室内空气清新、光线明亮（</w:t>
            </w:r>
            <w:r>
              <w:rPr>
                <w:rFonts w:ascii="宋体" w:hAnsi="宋体"/>
                <w:bCs/>
              </w:rPr>
              <w:t>2</w:t>
            </w:r>
            <w:r>
              <w:rPr>
                <w:rFonts w:hint="eastAsia" w:ascii="宋体" w:hAnsi="宋体"/>
                <w:bCs/>
              </w:rPr>
              <w:t>分）</w:t>
            </w:r>
          </w:p>
          <w:p>
            <w:pPr>
              <w:widowControl/>
              <w:numPr>
                <w:ilvl w:val="0"/>
                <w:numId w:val="1"/>
              </w:numPr>
              <w:spacing w:line="360" w:lineRule="exact"/>
              <w:jc w:val="left"/>
              <w:rPr>
                <w:rFonts w:ascii="宋体"/>
                <w:bCs/>
              </w:rPr>
            </w:pPr>
            <w:r>
              <w:rPr>
                <w:rFonts w:hint="eastAsia" w:ascii="宋体" w:hAnsi="宋体"/>
                <w:bCs/>
              </w:rPr>
              <w:t>有防蚊蝇等有害昆虫的设施（</w:t>
            </w:r>
            <w:r>
              <w:rPr>
                <w:rFonts w:ascii="宋体" w:hAnsi="宋体"/>
                <w:bCs/>
              </w:rPr>
              <w:t>2</w:t>
            </w:r>
            <w:r>
              <w:rPr>
                <w:rFonts w:hint="eastAsia" w:ascii="宋体" w:hAnsi="宋体"/>
                <w:bCs/>
              </w:rPr>
              <w:t>分）</w:t>
            </w:r>
          </w:p>
        </w:tc>
        <w:tc>
          <w:tcPr>
            <w:tcW w:w="1148" w:type="dxa"/>
            <w:vMerge w:val="restart"/>
            <w:vAlign w:val="center"/>
          </w:tcPr>
          <w:p>
            <w:pPr>
              <w:spacing w:line="360" w:lineRule="exact"/>
              <w:rPr>
                <w:rFonts w:ascii="宋体"/>
              </w:rPr>
            </w:pPr>
            <w:r>
              <w:rPr>
                <w:rFonts w:hint="eastAsia" w:ascii="宋体" w:hAnsi="宋体"/>
              </w:rPr>
              <w:t>查看现场</w:t>
            </w:r>
          </w:p>
        </w:tc>
        <w:tc>
          <w:tcPr>
            <w:tcW w:w="678" w:type="dxa"/>
            <w:vMerge w:val="continue"/>
            <w:vAlign w:val="center"/>
          </w:tcPr>
          <w:p>
            <w:pPr>
              <w:widowControl/>
              <w:jc w:val="left"/>
              <w:rPr>
                <w:rFonts w:ascii="宋体"/>
              </w:rPr>
            </w:pPr>
          </w:p>
        </w:tc>
        <w:tc>
          <w:tcPr>
            <w:tcW w:w="663" w:type="dxa"/>
            <w:vMerge w:val="continue"/>
            <w:vAlign w:val="center"/>
          </w:tcPr>
          <w:p>
            <w:pPr>
              <w:widowControl/>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50" w:hRule="atLeast"/>
          <w:jc w:val="center"/>
        </w:trPr>
        <w:tc>
          <w:tcPr>
            <w:tcW w:w="867" w:type="dxa"/>
            <w:vMerge w:val="continue"/>
            <w:vAlign w:val="center"/>
          </w:tcPr>
          <w:p>
            <w:pPr>
              <w:widowControl/>
              <w:jc w:val="left"/>
              <w:rPr>
                <w:rFonts w:ascii="宋体"/>
                <w:b/>
                <w:bCs/>
              </w:rPr>
            </w:pPr>
          </w:p>
        </w:tc>
        <w:tc>
          <w:tcPr>
            <w:tcW w:w="772" w:type="dxa"/>
            <w:vMerge w:val="continue"/>
            <w:vAlign w:val="center"/>
          </w:tcPr>
          <w:p>
            <w:pPr>
              <w:widowControl/>
              <w:jc w:val="left"/>
              <w:rPr>
                <w:rFonts w:ascii="宋体"/>
              </w:rPr>
            </w:pPr>
          </w:p>
        </w:tc>
        <w:tc>
          <w:tcPr>
            <w:tcW w:w="6077" w:type="dxa"/>
            <w:vAlign w:val="center"/>
          </w:tcPr>
          <w:p>
            <w:pPr>
              <w:widowControl/>
              <w:numPr>
                <w:ilvl w:val="0"/>
                <w:numId w:val="1"/>
              </w:numPr>
              <w:spacing w:line="360" w:lineRule="exact"/>
              <w:jc w:val="left"/>
              <w:rPr>
                <w:rFonts w:ascii="宋体"/>
                <w:bCs/>
              </w:rPr>
            </w:pPr>
            <w:r>
              <w:rPr>
                <w:rFonts w:hint="eastAsia" w:ascii="宋体" w:hAnsi="宋体"/>
                <w:bCs/>
              </w:rPr>
              <w:t>每个班级有独立的厕所和盥洗室（</w:t>
            </w:r>
            <w:r>
              <w:rPr>
                <w:rFonts w:ascii="宋体" w:hAnsi="宋体"/>
                <w:bCs/>
              </w:rPr>
              <w:t>2</w:t>
            </w:r>
            <w:r>
              <w:rPr>
                <w:rFonts w:hint="eastAsia" w:ascii="宋体" w:hAnsi="宋体"/>
                <w:bCs/>
              </w:rPr>
              <w:t>分）</w:t>
            </w:r>
          </w:p>
          <w:p>
            <w:pPr>
              <w:widowControl/>
              <w:numPr>
                <w:ilvl w:val="0"/>
                <w:numId w:val="1"/>
              </w:numPr>
              <w:spacing w:line="360" w:lineRule="exact"/>
              <w:jc w:val="left"/>
              <w:rPr>
                <w:rFonts w:ascii="宋体"/>
                <w:bCs/>
              </w:rPr>
            </w:pPr>
            <w:r>
              <w:rPr>
                <w:rFonts w:hint="eastAsia" w:ascii="宋体" w:hAnsi="宋体"/>
              </w:rPr>
              <w:t>每班厕所内有污水池，</w:t>
            </w:r>
            <w:r>
              <w:rPr>
                <w:rFonts w:hint="eastAsia" w:ascii="宋体" w:hAnsi="宋体"/>
                <w:bCs/>
              </w:rPr>
              <w:t>盥洗室内有</w:t>
            </w:r>
            <w:r>
              <w:rPr>
                <w:rFonts w:hint="eastAsia" w:ascii="宋体" w:hAnsi="宋体"/>
              </w:rPr>
              <w:t>洗涤池</w:t>
            </w:r>
            <w:r>
              <w:rPr>
                <w:rFonts w:hint="eastAsia" w:ascii="宋体" w:hAnsi="宋体"/>
                <w:bCs/>
              </w:rPr>
              <w:t>（</w:t>
            </w:r>
            <w:r>
              <w:rPr>
                <w:rFonts w:ascii="宋体" w:hAnsi="宋体"/>
                <w:bCs/>
              </w:rPr>
              <w:t>2</w:t>
            </w:r>
            <w:r>
              <w:rPr>
                <w:rFonts w:hint="eastAsia" w:ascii="宋体" w:hAnsi="宋体"/>
                <w:bCs/>
              </w:rPr>
              <w:t>分）</w:t>
            </w:r>
          </w:p>
        </w:tc>
        <w:tc>
          <w:tcPr>
            <w:tcW w:w="1148" w:type="dxa"/>
            <w:vMerge w:val="continue"/>
            <w:vAlign w:val="center"/>
          </w:tcPr>
          <w:p>
            <w:pPr>
              <w:widowControl/>
              <w:jc w:val="left"/>
              <w:rPr>
                <w:rFonts w:ascii="宋体"/>
              </w:rPr>
            </w:pPr>
          </w:p>
        </w:tc>
        <w:tc>
          <w:tcPr>
            <w:tcW w:w="678" w:type="dxa"/>
            <w:vMerge w:val="continue"/>
            <w:vAlign w:val="center"/>
          </w:tcPr>
          <w:p>
            <w:pPr>
              <w:widowControl/>
              <w:jc w:val="left"/>
              <w:rPr>
                <w:rFonts w:ascii="宋体"/>
              </w:rPr>
            </w:pPr>
          </w:p>
        </w:tc>
        <w:tc>
          <w:tcPr>
            <w:tcW w:w="663" w:type="dxa"/>
            <w:vMerge w:val="continue"/>
            <w:vAlign w:val="center"/>
          </w:tcPr>
          <w:p>
            <w:pPr>
              <w:widowControl/>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69" w:hRule="atLeast"/>
          <w:jc w:val="center"/>
        </w:trPr>
        <w:tc>
          <w:tcPr>
            <w:tcW w:w="867" w:type="dxa"/>
            <w:vMerge w:val="continue"/>
            <w:vAlign w:val="center"/>
          </w:tcPr>
          <w:p>
            <w:pPr>
              <w:widowControl/>
              <w:jc w:val="left"/>
              <w:rPr>
                <w:rFonts w:ascii="宋体"/>
                <w:b/>
                <w:bCs/>
              </w:rPr>
            </w:pPr>
          </w:p>
        </w:tc>
        <w:tc>
          <w:tcPr>
            <w:tcW w:w="772" w:type="dxa"/>
            <w:vMerge w:val="continue"/>
            <w:vAlign w:val="center"/>
          </w:tcPr>
          <w:p>
            <w:pPr>
              <w:widowControl/>
              <w:jc w:val="left"/>
              <w:rPr>
                <w:rFonts w:ascii="宋体"/>
              </w:rPr>
            </w:pPr>
          </w:p>
        </w:tc>
        <w:tc>
          <w:tcPr>
            <w:tcW w:w="6077" w:type="dxa"/>
            <w:vAlign w:val="center"/>
          </w:tcPr>
          <w:p>
            <w:pPr>
              <w:widowControl/>
              <w:numPr>
                <w:ilvl w:val="0"/>
                <w:numId w:val="1"/>
              </w:numPr>
              <w:spacing w:line="360" w:lineRule="exact"/>
              <w:jc w:val="left"/>
              <w:rPr>
                <w:rFonts w:ascii="宋体"/>
                <w:bCs/>
              </w:rPr>
            </w:pPr>
            <w:r>
              <w:rPr>
                <w:rFonts w:hint="eastAsia" w:ascii="宋体" w:hAnsi="宋体"/>
                <w:bCs/>
              </w:rPr>
              <w:t>盥洗室内有流动水洗手装置（</w:t>
            </w:r>
            <w:r>
              <w:rPr>
                <w:rFonts w:hint="eastAsia" w:ascii="宋体" w:hAnsi="宋体"/>
              </w:rPr>
              <w:t>必</w:t>
            </w:r>
            <w:r>
              <w:rPr>
                <w:rFonts w:hint="eastAsia" w:ascii="宋体" w:hAnsi="宋体"/>
                <w:bCs/>
              </w:rPr>
              <w:t>达项目）</w:t>
            </w:r>
          </w:p>
          <w:p>
            <w:pPr>
              <w:widowControl/>
              <w:numPr>
                <w:ilvl w:val="0"/>
                <w:numId w:val="1"/>
              </w:numPr>
              <w:spacing w:line="360" w:lineRule="exact"/>
              <w:jc w:val="left"/>
              <w:rPr>
                <w:rFonts w:ascii="宋体"/>
                <w:bCs/>
              </w:rPr>
            </w:pPr>
            <w:r>
              <w:rPr>
                <w:rFonts w:hint="eastAsia" w:ascii="宋体" w:hAnsi="宋体"/>
                <w:bCs/>
                <w:szCs w:val="21"/>
              </w:rPr>
              <w:t>盥洗室内水龙头数量和间距设置合理（</w:t>
            </w:r>
            <w:r>
              <w:rPr>
                <w:rFonts w:ascii="宋体" w:hAnsi="宋体"/>
                <w:bCs/>
              </w:rPr>
              <w:t>2</w:t>
            </w:r>
            <w:r>
              <w:rPr>
                <w:rFonts w:hint="eastAsia" w:ascii="宋体" w:hAnsi="宋体"/>
                <w:bCs/>
              </w:rPr>
              <w:t>分</w:t>
            </w:r>
            <w:r>
              <w:rPr>
                <w:rFonts w:hint="eastAsia" w:ascii="宋体" w:hAnsi="宋体"/>
                <w:bCs/>
                <w:szCs w:val="21"/>
              </w:rPr>
              <w:t>）</w:t>
            </w:r>
          </w:p>
        </w:tc>
        <w:tc>
          <w:tcPr>
            <w:tcW w:w="1148" w:type="dxa"/>
            <w:vAlign w:val="center"/>
          </w:tcPr>
          <w:p>
            <w:pPr>
              <w:spacing w:line="360" w:lineRule="exact"/>
              <w:rPr>
                <w:rFonts w:ascii="宋体"/>
              </w:rPr>
            </w:pPr>
            <w:r>
              <w:rPr>
                <w:rFonts w:hint="eastAsia" w:ascii="宋体" w:hAnsi="宋体"/>
              </w:rPr>
              <w:t>查看现场</w:t>
            </w:r>
          </w:p>
        </w:tc>
        <w:tc>
          <w:tcPr>
            <w:tcW w:w="678" w:type="dxa"/>
            <w:vMerge w:val="continue"/>
            <w:vAlign w:val="center"/>
          </w:tcPr>
          <w:p>
            <w:pPr>
              <w:widowControl/>
              <w:jc w:val="left"/>
              <w:rPr>
                <w:rFonts w:ascii="宋体"/>
              </w:rPr>
            </w:pPr>
          </w:p>
        </w:tc>
        <w:tc>
          <w:tcPr>
            <w:tcW w:w="663" w:type="dxa"/>
            <w:vMerge w:val="continue"/>
            <w:vAlign w:val="center"/>
          </w:tcPr>
          <w:p>
            <w:pPr>
              <w:widowControl/>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37" w:hRule="atLeast"/>
          <w:jc w:val="center"/>
        </w:trPr>
        <w:tc>
          <w:tcPr>
            <w:tcW w:w="867" w:type="dxa"/>
            <w:vMerge w:val="restart"/>
            <w:vAlign w:val="center"/>
          </w:tcPr>
          <w:p>
            <w:pPr>
              <w:spacing w:line="360" w:lineRule="exact"/>
              <w:jc w:val="center"/>
              <w:rPr>
                <w:rFonts w:ascii="宋体"/>
                <w:b/>
                <w:bCs/>
              </w:rPr>
            </w:pPr>
            <w:r>
              <w:rPr>
                <w:rFonts w:hint="eastAsia" w:ascii="宋体" w:hAnsi="宋体"/>
                <w:b/>
                <w:bCs/>
              </w:rPr>
              <w:t>个</w:t>
            </w:r>
          </w:p>
          <w:p>
            <w:pPr>
              <w:spacing w:line="360" w:lineRule="exact"/>
              <w:jc w:val="center"/>
              <w:rPr>
                <w:rFonts w:ascii="宋体"/>
                <w:b/>
                <w:bCs/>
              </w:rPr>
            </w:pPr>
            <w:r>
              <w:rPr>
                <w:rFonts w:hint="eastAsia" w:ascii="宋体" w:hAnsi="宋体"/>
                <w:b/>
                <w:bCs/>
              </w:rPr>
              <w:t>人</w:t>
            </w:r>
          </w:p>
          <w:p>
            <w:pPr>
              <w:spacing w:line="360" w:lineRule="exact"/>
              <w:jc w:val="center"/>
              <w:rPr>
                <w:rFonts w:ascii="宋体"/>
                <w:b/>
                <w:bCs/>
              </w:rPr>
            </w:pPr>
            <w:r>
              <w:rPr>
                <w:rFonts w:hint="eastAsia" w:ascii="宋体" w:hAnsi="宋体"/>
                <w:b/>
                <w:bCs/>
              </w:rPr>
              <w:t>卫</w:t>
            </w:r>
          </w:p>
          <w:p>
            <w:pPr>
              <w:spacing w:line="360" w:lineRule="exact"/>
              <w:jc w:val="center"/>
              <w:rPr>
                <w:rFonts w:ascii="宋体"/>
                <w:b/>
              </w:rPr>
            </w:pPr>
            <w:r>
              <w:rPr>
                <w:rFonts w:hint="eastAsia" w:ascii="宋体" w:hAnsi="宋体"/>
                <w:b/>
                <w:bCs/>
              </w:rPr>
              <w:t>生</w:t>
            </w:r>
          </w:p>
        </w:tc>
        <w:tc>
          <w:tcPr>
            <w:tcW w:w="772" w:type="dxa"/>
            <w:vMerge w:val="restart"/>
            <w:vAlign w:val="center"/>
          </w:tcPr>
          <w:p>
            <w:pPr>
              <w:spacing w:line="360" w:lineRule="exact"/>
              <w:rPr>
                <w:rFonts w:ascii="宋体"/>
              </w:rPr>
            </w:pPr>
            <w:r>
              <w:rPr>
                <w:rFonts w:ascii="宋体" w:hAnsi="宋体"/>
              </w:rPr>
              <w:t>15</w:t>
            </w:r>
            <w:r>
              <w:rPr>
                <w:rFonts w:hint="eastAsia" w:ascii="宋体" w:hAnsi="宋体"/>
              </w:rPr>
              <w:t>分</w:t>
            </w:r>
          </w:p>
        </w:tc>
        <w:tc>
          <w:tcPr>
            <w:tcW w:w="6077" w:type="dxa"/>
            <w:vAlign w:val="center"/>
          </w:tcPr>
          <w:p>
            <w:pPr>
              <w:widowControl/>
              <w:numPr>
                <w:ilvl w:val="0"/>
                <w:numId w:val="1"/>
              </w:numPr>
              <w:spacing w:line="360" w:lineRule="exact"/>
              <w:jc w:val="left"/>
              <w:rPr>
                <w:rFonts w:ascii="宋体"/>
                <w:bCs/>
              </w:rPr>
            </w:pPr>
            <w:r>
              <w:rPr>
                <w:rFonts w:hint="eastAsia" w:ascii="宋体" w:hAnsi="宋体"/>
                <w:bCs/>
              </w:rPr>
              <w:t>保证儿童每日</w:t>
            </w:r>
            <w:r>
              <w:rPr>
                <w:rFonts w:ascii="宋体" w:hAnsi="宋体"/>
                <w:bCs/>
              </w:rPr>
              <w:t>1</w:t>
            </w:r>
            <w:r>
              <w:rPr>
                <w:rFonts w:hint="eastAsia" w:ascii="宋体" w:hAnsi="宋体"/>
                <w:bCs/>
              </w:rPr>
              <w:t>巾</w:t>
            </w:r>
            <w:r>
              <w:rPr>
                <w:rFonts w:ascii="宋体" w:hAnsi="宋体"/>
                <w:bCs/>
              </w:rPr>
              <w:t>1</w:t>
            </w:r>
            <w:r>
              <w:rPr>
                <w:rFonts w:hint="eastAsia" w:ascii="宋体" w:hAnsi="宋体"/>
                <w:bCs/>
              </w:rPr>
              <w:t>杯专用</w:t>
            </w:r>
            <w:r>
              <w:rPr>
                <w:rFonts w:ascii="宋体"/>
                <w:bCs/>
              </w:rPr>
              <w:t>,</w:t>
            </w:r>
            <w:r>
              <w:rPr>
                <w:rFonts w:hint="eastAsia" w:ascii="宋体" w:hAnsi="宋体"/>
                <w:bCs/>
              </w:rPr>
              <w:t>寄宿制儿童每人有专用洗漱用品（</w:t>
            </w:r>
            <w:r>
              <w:rPr>
                <w:rFonts w:hint="eastAsia" w:ascii="宋体" w:hAnsi="宋体"/>
              </w:rPr>
              <w:t>必</w:t>
            </w:r>
            <w:r>
              <w:rPr>
                <w:rFonts w:hint="eastAsia" w:ascii="宋体" w:hAnsi="宋体"/>
                <w:bCs/>
              </w:rPr>
              <w:t>达项目）</w:t>
            </w:r>
          </w:p>
        </w:tc>
        <w:tc>
          <w:tcPr>
            <w:tcW w:w="1148" w:type="dxa"/>
            <w:vMerge w:val="restart"/>
            <w:vAlign w:val="center"/>
          </w:tcPr>
          <w:p>
            <w:pPr>
              <w:spacing w:line="360" w:lineRule="exact"/>
              <w:rPr>
                <w:rFonts w:ascii="宋体"/>
              </w:rPr>
            </w:pPr>
            <w:r>
              <w:rPr>
                <w:rFonts w:hint="eastAsia" w:ascii="宋体" w:hAnsi="宋体"/>
              </w:rPr>
              <w:t>查看现场</w:t>
            </w:r>
          </w:p>
        </w:tc>
        <w:tc>
          <w:tcPr>
            <w:tcW w:w="678" w:type="dxa"/>
            <w:vMerge w:val="restart"/>
          </w:tcPr>
          <w:p>
            <w:pPr>
              <w:spacing w:line="360" w:lineRule="exact"/>
              <w:rPr>
                <w:rFonts w:ascii="宋体"/>
              </w:rPr>
            </w:pPr>
          </w:p>
        </w:tc>
        <w:tc>
          <w:tcPr>
            <w:tcW w:w="663" w:type="dxa"/>
            <w:vMerge w:val="restart"/>
            <w:vAlign w:val="center"/>
          </w:tcPr>
          <w:p>
            <w:pPr>
              <w:spacing w:line="360" w:lineRule="exact"/>
              <w:rPr>
                <w:rFonts w:ascii="宋体"/>
              </w:rPr>
            </w:pPr>
          </w:p>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00" w:hRule="atLeast"/>
          <w:jc w:val="center"/>
        </w:trPr>
        <w:tc>
          <w:tcPr>
            <w:tcW w:w="867" w:type="dxa"/>
            <w:vMerge w:val="continue"/>
            <w:vAlign w:val="center"/>
          </w:tcPr>
          <w:p>
            <w:pPr>
              <w:widowControl/>
              <w:jc w:val="left"/>
              <w:rPr>
                <w:rFonts w:ascii="宋体"/>
                <w:b/>
              </w:rPr>
            </w:pPr>
          </w:p>
        </w:tc>
        <w:tc>
          <w:tcPr>
            <w:tcW w:w="772" w:type="dxa"/>
            <w:vMerge w:val="continue"/>
            <w:vAlign w:val="center"/>
          </w:tcPr>
          <w:p>
            <w:pPr>
              <w:widowControl/>
              <w:jc w:val="left"/>
              <w:rPr>
                <w:rFonts w:ascii="宋体"/>
              </w:rPr>
            </w:pPr>
          </w:p>
        </w:tc>
        <w:tc>
          <w:tcPr>
            <w:tcW w:w="6077" w:type="dxa"/>
            <w:vAlign w:val="center"/>
          </w:tcPr>
          <w:p>
            <w:pPr>
              <w:widowControl/>
              <w:numPr>
                <w:ilvl w:val="0"/>
                <w:numId w:val="1"/>
              </w:numPr>
              <w:spacing w:line="360" w:lineRule="exact"/>
              <w:jc w:val="left"/>
              <w:rPr>
                <w:rFonts w:ascii="宋体"/>
                <w:bCs/>
              </w:rPr>
            </w:pPr>
            <w:r>
              <w:rPr>
                <w:rFonts w:hint="eastAsia" w:ascii="宋体" w:hAnsi="宋体"/>
                <w:bCs/>
              </w:rPr>
              <w:t>每班有专用水杯架，标识清楚，有饮水设施（</w:t>
            </w:r>
            <w:r>
              <w:rPr>
                <w:rFonts w:ascii="宋体" w:hAnsi="宋体"/>
                <w:bCs/>
              </w:rPr>
              <w:t>4</w:t>
            </w:r>
            <w:r>
              <w:rPr>
                <w:rFonts w:hint="eastAsia" w:ascii="宋体" w:hAnsi="宋体"/>
                <w:bCs/>
              </w:rPr>
              <w:t>分）</w:t>
            </w:r>
          </w:p>
          <w:p>
            <w:pPr>
              <w:widowControl/>
              <w:numPr>
                <w:ilvl w:val="0"/>
                <w:numId w:val="1"/>
              </w:numPr>
              <w:tabs>
                <w:tab w:val="left" w:pos="-7"/>
              </w:tabs>
              <w:spacing w:line="360" w:lineRule="exact"/>
              <w:ind w:right="-111" w:rightChars="-53"/>
              <w:jc w:val="left"/>
              <w:rPr>
                <w:rFonts w:ascii="宋体"/>
                <w:bCs/>
              </w:rPr>
            </w:pPr>
            <w:r>
              <w:rPr>
                <w:rFonts w:hint="eastAsia" w:ascii="宋体" w:hAnsi="宋体"/>
                <w:bCs/>
              </w:rPr>
              <w:t>每班有专用毛巾架，标识清楚，毛巾间距合理（</w:t>
            </w:r>
            <w:r>
              <w:rPr>
                <w:rFonts w:ascii="宋体" w:hAnsi="宋体"/>
                <w:bCs/>
              </w:rPr>
              <w:t>3</w:t>
            </w:r>
            <w:r>
              <w:rPr>
                <w:rFonts w:hint="eastAsia" w:ascii="宋体" w:hAnsi="宋体"/>
                <w:bCs/>
              </w:rPr>
              <w:t>分）</w:t>
            </w:r>
          </w:p>
          <w:p>
            <w:pPr>
              <w:widowControl/>
              <w:numPr>
                <w:ilvl w:val="0"/>
                <w:numId w:val="1"/>
              </w:numPr>
              <w:spacing w:line="360" w:lineRule="exact"/>
              <w:jc w:val="left"/>
              <w:rPr>
                <w:rFonts w:ascii="宋体"/>
                <w:bCs/>
              </w:rPr>
            </w:pPr>
            <w:r>
              <w:rPr>
                <w:rFonts w:hint="eastAsia" w:ascii="宋体" w:hAnsi="宋体"/>
                <w:bCs/>
              </w:rPr>
              <w:t>有专用水杯、毛巾消毒设施（</w:t>
            </w:r>
            <w:r>
              <w:rPr>
                <w:rFonts w:ascii="宋体" w:hAnsi="宋体"/>
                <w:bCs/>
              </w:rPr>
              <w:t>4</w:t>
            </w:r>
            <w:r>
              <w:rPr>
                <w:rFonts w:hint="eastAsia" w:ascii="宋体" w:hAnsi="宋体"/>
                <w:bCs/>
              </w:rPr>
              <w:t>分）</w:t>
            </w:r>
          </w:p>
        </w:tc>
        <w:tc>
          <w:tcPr>
            <w:tcW w:w="1148" w:type="dxa"/>
            <w:vMerge w:val="continue"/>
            <w:vAlign w:val="center"/>
          </w:tcPr>
          <w:p>
            <w:pPr>
              <w:widowControl/>
              <w:jc w:val="left"/>
              <w:rPr>
                <w:rFonts w:ascii="宋体"/>
              </w:rPr>
            </w:pPr>
          </w:p>
        </w:tc>
        <w:tc>
          <w:tcPr>
            <w:tcW w:w="678" w:type="dxa"/>
            <w:vMerge w:val="continue"/>
            <w:vAlign w:val="center"/>
          </w:tcPr>
          <w:p>
            <w:pPr>
              <w:widowControl/>
              <w:jc w:val="left"/>
              <w:rPr>
                <w:rFonts w:ascii="宋体"/>
              </w:rPr>
            </w:pPr>
          </w:p>
        </w:tc>
        <w:tc>
          <w:tcPr>
            <w:tcW w:w="663" w:type="dxa"/>
            <w:vMerge w:val="continue"/>
            <w:vAlign w:val="center"/>
          </w:tcPr>
          <w:p>
            <w:pPr>
              <w:widowControl/>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9" w:hRule="atLeast"/>
          <w:jc w:val="center"/>
        </w:trPr>
        <w:tc>
          <w:tcPr>
            <w:tcW w:w="867" w:type="dxa"/>
            <w:vMerge w:val="continue"/>
            <w:vAlign w:val="center"/>
          </w:tcPr>
          <w:p>
            <w:pPr>
              <w:widowControl/>
              <w:jc w:val="left"/>
              <w:rPr>
                <w:rFonts w:ascii="宋体"/>
                <w:b/>
              </w:rPr>
            </w:pPr>
          </w:p>
        </w:tc>
        <w:tc>
          <w:tcPr>
            <w:tcW w:w="772" w:type="dxa"/>
            <w:vMerge w:val="continue"/>
            <w:vAlign w:val="center"/>
          </w:tcPr>
          <w:p>
            <w:pPr>
              <w:widowControl/>
              <w:jc w:val="left"/>
              <w:rPr>
                <w:rFonts w:ascii="宋体"/>
              </w:rPr>
            </w:pPr>
          </w:p>
        </w:tc>
        <w:tc>
          <w:tcPr>
            <w:tcW w:w="6077" w:type="dxa"/>
            <w:vAlign w:val="center"/>
          </w:tcPr>
          <w:p>
            <w:pPr>
              <w:widowControl/>
              <w:numPr>
                <w:ilvl w:val="0"/>
                <w:numId w:val="1"/>
              </w:numPr>
              <w:spacing w:line="360" w:lineRule="exact"/>
              <w:jc w:val="left"/>
              <w:rPr>
                <w:rFonts w:ascii="宋体"/>
                <w:bCs/>
              </w:rPr>
            </w:pPr>
            <w:r>
              <w:rPr>
                <w:rFonts w:hint="eastAsia" w:ascii="宋体" w:hAnsi="宋体"/>
                <w:bCs/>
              </w:rPr>
              <w:t>儿童有安全、卫生、独自使用的床位和被褥（</w:t>
            </w:r>
            <w:r>
              <w:rPr>
                <w:rFonts w:ascii="宋体" w:hAnsi="宋体"/>
                <w:bCs/>
              </w:rPr>
              <w:t>4</w:t>
            </w:r>
            <w:r>
              <w:rPr>
                <w:rFonts w:hint="eastAsia" w:ascii="宋体" w:hAnsi="宋体"/>
                <w:bCs/>
              </w:rPr>
              <w:t>分）</w:t>
            </w:r>
          </w:p>
        </w:tc>
        <w:tc>
          <w:tcPr>
            <w:tcW w:w="1148" w:type="dxa"/>
            <w:vMerge w:val="continue"/>
            <w:vAlign w:val="center"/>
          </w:tcPr>
          <w:p>
            <w:pPr>
              <w:widowControl/>
              <w:jc w:val="left"/>
              <w:rPr>
                <w:rFonts w:ascii="宋体"/>
              </w:rPr>
            </w:pPr>
          </w:p>
        </w:tc>
        <w:tc>
          <w:tcPr>
            <w:tcW w:w="678" w:type="dxa"/>
            <w:vMerge w:val="continue"/>
            <w:vAlign w:val="center"/>
          </w:tcPr>
          <w:p>
            <w:pPr>
              <w:widowControl/>
              <w:jc w:val="left"/>
              <w:rPr>
                <w:rFonts w:ascii="宋体"/>
              </w:rPr>
            </w:pPr>
          </w:p>
        </w:tc>
        <w:tc>
          <w:tcPr>
            <w:tcW w:w="663" w:type="dxa"/>
            <w:vMerge w:val="continue"/>
            <w:vAlign w:val="center"/>
          </w:tcPr>
          <w:p>
            <w:pPr>
              <w:widowControl/>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13" w:hRule="atLeast"/>
          <w:jc w:val="center"/>
        </w:trPr>
        <w:tc>
          <w:tcPr>
            <w:tcW w:w="867" w:type="dxa"/>
            <w:vMerge w:val="restart"/>
            <w:vAlign w:val="center"/>
          </w:tcPr>
          <w:p>
            <w:pPr>
              <w:spacing w:line="360" w:lineRule="exact"/>
              <w:jc w:val="center"/>
              <w:rPr>
                <w:rFonts w:ascii="宋体"/>
                <w:b/>
                <w:bCs/>
              </w:rPr>
            </w:pPr>
            <w:r>
              <w:rPr>
                <w:rFonts w:hint="eastAsia" w:ascii="宋体" w:hAnsi="宋体"/>
                <w:b/>
                <w:bCs/>
              </w:rPr>
              <w:t>食</w:t>
            </w:r>
          </w:p>
          <w:p>
            <w:pPr>
              <w:spacing w:line="360" w:lineRule="exact"/>
              <w:jc w:val="center"/>
              <w:rPr>
                <w:rFonts w:ascii="宋体"/>
                <w:b/>
                <w:bCs/>
              </w:rPr>
            </w:pPr>
            <w:r>
              <w:rPr>
                <w:rFonts w:hint="eastAsia" w:ascii="宋体" w:hAnsi="宋体"/>
                <w:b/>
                <w:bCs/>
              </w:rPr>
              <w:t>堂</w:t>
            </w:r>
          </w:p>
          <w:p>
            <w:pPr>
              <w:spacing w:line="360" w:lineRule="exact"/>
              <w:jc w:val="center"/>
              <w:rPr>
                <w:rFonts w:ascii="宋体"/>
                <w:b/>
                <w:bCs/>
              </w:rPr>
            </w:pPr>
            <w:r>
              <w:rPr>
                <w:rFonts w:hint="eastAsia" w:ascii="宋体" w:hAnsi="宋体"/>
                <w:b/>
                <w:bCs/>
              </w:rPr>
              <w:t>卫</w:t>
            </w:r>
          </w:p>
          <w:p>
            <w:pPr>
              <w:spacing w:line="360" w:lineRule="exact"/>
              <w:jc w:val="center"/>
              <w:rPr>
                <w:rFonts w:ascii="宋体"/>
                <w:b/>
                <w:bCs/>
              </w:rPr>
            </w:pPr>
            <w:r>
              <w:rPr>
                <w:rFonts w:hint="eastAsia" w:ascii="宋体" w:hAnsi="宋体"/>
                <w:b/>
                <w:bCs/>
              </w:rPr>
              <w:t>生</w:t>
            </w:r>
          </w:p>
        </w:tc>
        <w:tc>
          <w:tcPr>
            <w:tcW w:w="772" w:type="dxa"/>
            <w:vMerge w:val="restart"/>
            <w:vAlign w:val="center"/>
          </w:tcPr>
          <w:p>
            <w:pPr>
              <w:spacing w:line="360" w:lineRule="exact"/>
              <w:rPr>
                <w:rFonts w:ascii="宋体"/>
              </w:rPr>
            </w:pPr>
            <w:r>
              <w:rPr>
                <w:rFonts w:ascii="宋体" w:hAnsi="宋体"/>
              </w:rPr>
              <w:t>10</w:t>
            </w:r>
            <w:r>
              <w:rPr>
                <w:rFonts w:hint="eastAsia" w:ascii="宋体" w:hAnsi="宋体"/>
              </w:rPr>
              <w:t>分</w:t>
            </w:r>
          </w:p>
        </w:tc>
        <w:tc>
          <w:tcPr>
            <w:tcW w:w="6077" w:type="dxa"/>
            <w:vAlign w:val="center"/>
          </w:tcPr>
          <w:p>
            <w:pPr>
              <w:widowControl/>
              <w:numPr>
                <w:ilvl w:val="0"/>
                <w:numId w:val="1"/>
              </w:numPr>
              <w:spacing w:line="360" w:lineRule="exact"/>
              <w:jc w:val="left"/>
              <w:rPr>
                <w:rFonts w:ascii="宋体"/>
                <w:bCs/>
              </w:rPr>
            </w:pPr>
            <w:r>
              <w:rPr>
                <w:rFonts w:hint="eastAsia" w:ascii="宋体" w:hAnsi="宋体"/>
                <w:bCs/>
              </w:rPr>
              <w:t>食堂获得《餐饮服务许可证》（</w:t>
            </w:r>
            <w:r>
              <w:rPr>
                <w:rFonts w:hint="eastAsia" w:ascii="宋体" w:hAnsi="宋体"/>
              </w:rPr>
              <w:t>必</w:t>
            </w:r>
            <w:r>
              <w:rPr>
                <w:rFonts w:hint="eastAsia" w:ascii="宋体" w:hAnsi="宋体"/>
                <w:bCs/>
              </w:rPr>
              <w:t>达项目）</w:t>
            </w:r>
          </w:p>
        </w:tc>
        <w:tc>
          <w:tcPr>
            <w:tcW w:w="1148" w:type="dxa"/>
            <w:vAlign w:val="center"/>
          </w:tcPr>
          <w:p>
            <w:pPr>
              <w:spacing w:line="360" w:lineRule="exact"/>
              <w:rPr>
                <w:rFonts w:ascii="宋体"/>
              </w:rPr>
            </w:pPr>
            <w:r>
              <w:rPr>
                <w:rFonts w:hint="eastAsia" w:ascii="宋体" w:hAnsi="宋体"/>
              </w:rPr>
              <w:t>查验证件</w:t>
            </w:r>
          </w:p>
        </w:tc>
        <w:tc>
          <w:tcPr>
            <w:tcW w:w="678" w:type="dxa"/>
            <w:vMerge w:val="restart"/>
          </w:tcPr>
          <w:p>
            <w:pPr>
              <w:spacing w:line="360" w:lineRule="exact"/>
              <w:rPr>
                <w:rFonts w:ascii="宋体"/>
              </w:rPr>
            </w:pPr>
          </w:p>
        </w:tc>
        <w:tc>
          <w:tcPr>
            <w:tcW w:w="663" w:type="dxa"/>
            <w:vMerge w:val="restart"/>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08" w:hRule="atLeast"/>
          <w:jc w:val="center"/>
        </w:trPr>
        <w:tc>
          <w:tcPr>
            <w:tcW w:w="867" w:type="dxa"/>
            <w:vMerge w:val="continue"/>
            <w:vAlign w:val="center"/>
          </w:tcPr>
          <w:p>
            <w:pPr>
              <w:widowControl/>
              <w:jc w:val="left"/>
              <w:rPr>
                <w:rFonts w:ascii="宋体"/>
                <w:b/>
                <w:bCs/>
              </w:rPr>
            </w:pPr>
          </w:p>
        </w:tc>
        <w:tc>
          <w:tcPr>
            <w:tcW w:w="772" w:type="dxa"/>
            <w:vMerge w:val="continue"/>
            <w:vAlign w:val="center"/>
          </w:tcPr>
          <w:p>
            <w:pPr>
              <w:widowControl/>
              <w:jc w:val="left"/>
              <w:rPr>
                <w:rFonts w:ascii="宋体"/>
              </w:rPr>
            </w:pPr>
          </w:p>
        </w:tc>
        <w:tc>
          <w:tcPr>
            <w:tcW w:w="6077" w:type="dxa"/>
            <w:vAlign w:val="center"/>
          </w:tcPr>
          <w:p>
            <w:pPr>
              <w:widowControl/>
              <w:numPr>
                <w:ilvl w:val="0"/>
                <w:numId w:val="1"/>
              </w:numPr>
              <w:spacing w:line="360" w:lineRule="exact"/>
              <w:jc w:val="left"/>
              <w:rPr>
                <w:rFonts w:ascii="宋体"/>
                <w:bCs/>
              </w:rPr>
            </w:pPr>
            <w:r>
              <w:rPr>
                <w:rFonts w:hint="eastAsia" w:ascii="宋体" w:hAnsi="宋体"/>
              </w:rPr>
              <w:t>园（所）内应</w:t>
            </w:r>
            <w:r>
              <w:rPr>
                <w:rFonts w:hint="eastAsia" w:ascii="宋体" w:hAnsi="宋体"/>
                <w:bCs/>
              </w:rPr>
              <w:t>设置区域性的餐饮具</w:t>
            </w:r>
            <w:r>
              <w:rPr>
                <w:rFonts w:hint="eastAsia" w:ascii="宋体" w:hAnsi="宋体"/>
              </w:rPr>
              <w:t>集中清洗消毒间，消毒后有保洁存放设施（</w:t>
            </w:r>
            <w:r>
              <w:rPr>
                <w:rFonts w:ascii="宋体" w:hAnsi="宋体"/>
              </w:rPr>
              <w:t>4</w:t>
            </w:r>
            <w:r>
              <w:rPr>
                <w:rFonts w:hint="eastAsia" w:ascii="宋体" w:hAnsi="宋体"/>
              </w:rPr>
              <w:t>分）</w:t>
            </w:r>
          </w:p>
          <w:p>
            <w:pPr>
              <w:widowControl/>
              <w:numPr>
                <w:ilvl w:val="0"/>
                <w:numId w:val="1"/>
              </w:numPr>
              <w:spacing w:line="360" w:lineRule="exact"/>
              <w:jc w:val="left"/>
              <w:rPr>
                <w:rFonts w:ascii="宋体"/>
                <w:bCs/>
              </w:rPr>
            </w:pPr>
            <w:r>
              <w:rPr>
                <w:rFonts w:hint="eastAsia" w:ascii="宋体" w:hAnsi="宋体"/>
                <w:bCs/>
              </w:rPr>
              <w:t>配有食物留样专用冰箱，有专人管理（</w:t>
            </w:r>
            <w:r>
              <w:rPr>
                <w:rFonts w:ascii="宋体" w:hAnsi="宋体"/>
                <w:bCs/>
              </w:rPr>
              <w:t>3</w:t>
            </w:r>
            <w:r>
              <w:rPr>
                <w:rFonts w:hint="eastAsia" w:ascii="宋体" w:hAnsi="宋体"/>
                <w:bCs/>
              </w:rPr>
              <w:t>分）</w:t>
            </w:r>
          </w:p>
        </w:tc>
        <w:tc>
          <w:tcPr>
            <w:tcW w:w="1148" w:type="dxa"/>
            <w:vAlign w:val="center"/>
          </w:tcPr>
          <w:p>
            <w:pPr>
              <w:spacing w:line="360" w:lineRule="exact"/>
              <w:rPr>
                <w:rFonts w:ascii="宋体"/>
              </w:rPr>
            </w:pPr>
            <w:r>
              <w:rPr>
                <w:rFonts w:hint="eastAsia" w:ascii="宋体" w:hAnsi="宋体"/>
              </w:rPr>
              <w:t>查看现场</w:t>
            </w:r>
          </w:p>
        </w:tc>
        <w:tc>
          <w:tcPr>
            <w:tcW w:w="678" w:type="dxa"/>
            <w:vMerge w:val="continue"/>
            <w:vAlign w:val="center"/>
          </w:tcPr>
          <w:p>
            <w:pPr>
              <w:widowControl/>
              <w:jc w:val="left"/>
              <w:rPr>
                <w:rFonts w:ascii="宋体"/>
              </w:rPr>
            </w:pPr>
          </w:p>
        </w:tc>
        <w:tc>
          <w:tcPr>
            <w:tcW w:w="663" w:type="dxa"/>
            <w:vMerge w:val="continue"/>
            <w:vAlign w:val="center"/>
          </w:tcPr>
          <w:p>
            <w:pPr>
              <w:widowControl/>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252" w:hRule="atLeast"/>
          <w:jc w:val="center"/>
        </w:trPr>
        <w:tc>
          <w:tcPr>
            <w:tcW w:w="867" w:type="dxa"/>
            <w:vMerge w:val="continue"/>
            <w:vAlign w:val="center"/>
          </w:tcPr>
          <w:p>
            <w:pPr>
              <w:widowControl/>
              <w:jc w:val="left"/>
              <w:rPr>
                <w:rFonts w:ascii="宋体"/>
                <w:b/>
                <w:bCs/>
              </w:rPr>
            </w:pPr>
          </w:p>
        </w:tc>
        <w:tc>
          <w:tcPr>
            <w:tcW w:w="772" w:type="dxa"/>
            <w:vMerge w:val="continue"/>
            <w:vAlign w:val="center"/>
          </w:tcPr>
          <w:p>
            <w:pPr>
              <w:widowControl/>
              <w:jc w:val="left"/>
              <w:rPr>
                <w:rFonts w:ascii="宋体"/>
              </w:rPr>
            </w:pPr>
          </w:p>
        </w:tc>
        <w:tc>
          <w:tcPr>
            <w:tcW w:w="6077" w:type="dxa"/>
            <w:vAlign w:val="center"/>
          </w:tcPr>
          <w:p>
            <w:pPr>
              <w:widowControl/>
              <w:numPr>
                <w:ilvl w:val="0"/>
                <w:numId w:val="1"/>
              </w:numPr>
              <w:spacing w:line="360" w:lineRule="exact"/>
              <w:jc w:val="left"/>
              <w:rPr>
                <w:rFonts w:ascii="宋体"/>
              </w:rPr>
            </w:pPr>
            <w:r>
              <w:rPr>
                <w:rFonts w:hint="eastAsia" w:ascii="宋体" w:hAnsi="宋体"/>
                <w:bCs/>
              </w:rPr>
              <w:t>炊事人员与儿童配备比例：提供每日三餐一点的托幼机构应达</w:t>
            </w:r>
            <w:r>
              <w:rPr>
                <w:rFonts w:ascii="宋体" w:hAnsi="宋体"/>
                <w:bCs/>
              </w:rPr>
              <w:t>1: 50</w:t>
            </w:r>
            <w:r>
              <w:rPr>
                <w:rFonts w:hint="eastAsia" w:ascii="宋体" w:hAnsi="宋体"/>
                <w:bCs/>
              </w:rPr>
              <w:t>，提供每日一餐二点或二餐一点的</w:t>
            </w:r>
            <w:r>
              <w:rPr>
                <w:rFonts w:ascii="宋体" w:hAnsi="宋体"/>
                <w:bCs/>
              </w:rPr>
              <w:t>1: 80</w:t>
            </w:r>
            <w:r>
              <w:rPr>
                <w:rFonts w:hint="eastAsia" w:ascii="宋体" w:hAnsi="宋体"/>
                <w:bCs/>
              </w:rPr>
              <w:t>（</w:t>
            </w:r>
            <w:r>
              <w:rPr>
                <w:rFonts w:ascii="宋体" w:hAnsi="宋体"/>
                <w:bCs/>
              </w:rPr>
              <w:t>3</w:t>
            </w:r>
            <w:r>
              <w:rPr>
                <w:rFonts w:hint="eastAsia" w:ascii="宋体" w:hAnsi="宋体"/>
                <w:bCs/>
              </w:rPr>
              <w:t>分）</w:t>
            </w:r>
          </w:p>
        </w:tc>
        <w:tc>
          <w:tcPr>
            <w:tcW w:w="1148" w:type="dxa"/>
            <w:vAlign w:val="center"/>
          </w:tcPr>
          <w:p>
            <w:pPr>
              <w:spacing w:line="360" w:lineRule="exact"/>
              <w:rPr>
                <w:rFonts w:ascii="宋体"/>
              </w:rPr>
            </w:pPr>
            <w:r>
              <w:rPr>
                <w:rFonts w:hint="eastAsia" w:ascii="宋体" w:hAnsi="宋体"/>
              </w:rPr>
              <w:t>查看资料</w:t>
            </w:r>
          </w:p>
        </w:tc>
        <w:tc>
          <w:tcPr>
            <w:tcW w:w="678" w:type="dxa"/>
            <w:vMerge w:val="continue"/>
            <w:vAlign w:val="center"/>
          </w:tcPr>
          <w:p>
            <w:pPr>
              <w:widowControl/>
              <w:jc w:val="left"/>
              <w:rPr>
                <w:rFonts w:ascii="宋体"/>
              </w:rPr>
            </w:pPr>
          </w:p>
        </w:tc>
        <w:tc>
          <w:tcPr>
            <w:tcW w:w="663" w:type="dxa"/>
            <w:vMerge w:val="continue"/>
            <w:vAlign w:val="center"/>
          </w:tcPr>
          <w:p>
            <w:pPr>
              <w:widowControl/>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95" w:hRule="atLeast"/>
          <w:jc w:val="center"/>
        </w:trPr>
        <w:tc>
          <w:tcPr>
            <w:tcW w:w="867" w:type="dxa"/>
            <w:vMerge w:val="restart"/>
            <w:vAlign w:val="center"/>
          </w:tcPr>
          <w:p>
            <w:pPr>
              <w:spacing w:line="360" w:lineRule="exact"/>
              <w:jc w:val="center"/>
              <w:rPr>
                <w:rFonts w:ascii="宋体"/>
                <w:b/>
              </w:rPr>
            </w:pPr>
            <w:r>
              <w:rPr>
                <w:rFonts w:hint="eastAsia" w:ascii="宋体" w:hAnsi="宋体"/>
                <w:b/>
              </w:rPr>
              <w:t>保</w:t>
            </w:r>
          </w:p>
          <w:p>
            <w:pPr>
              <w:spacing w:line="360" w:lineRule="exact"/>
              <w:jc w:val="center"/>
              <w:rPr>
                <w:rFonts w:ascii="宋体"/>
                <w:b/>
              </w:rPr>
            </w:pPr>
            <w:r>
              <w:rPr>
                <w:rFonts w:hint="eastAsia" w:ascii="宋体" w:hAnsi="宋体"/>
                <w:b/>
              </w:rPr>
              <w:t>健</w:t>
            </w:r>
          </w:p>
          <w:p>
            <w:pPr>
              <w:spacing w:line="360" w:lineRule="exact"/>
              <w:jc w:val="center"/>
              <w:rPr>
                <w:rFonts w:ascii="宋体"/>
                <w:b/>
              </w:rPr>
            </w:pPr>
            <w:r>
              <w:rPr>
                <w:rFonts w:hint="eastAsia" w:ascii="宋体" w:hAnsi="宋体"/>
                <w:b/>
              </w:rPr>
              <w:t>室</w:t>
            </w:r>
          </w:p>
          <w:p>
            <w:pPr>
              <w:spacing w:line="360" w:lineRule="exact"/>
              <w:jc w:val="center"/>
              <w:rPr>
                <w:rFonts w:ascii="宋体"/>
                <w:b/>
              </w:rPr>
            </w:pPr>
            <w:r>
              <w:rPr>
                <w:rFonts w:hint="eastAsia" w:ascii="宋体" w:hAnsi="宋体"/>
                <w:b/>
              </w:rPr>
              <w:t>或</w:t>
            </w:r>
          </w:p>
          <w:p>
            <w:pPr>
              <w:spacing w:line="360" w:lineRule="exact"/>
              <w:jc w:val="center"/>
              <w:rPr>
                <w:rFonts w:ascii="宋体"/>
                <w:b/>
              </w:rPr>
            </w:pPr>
            <w:r>
              <w:rPr>
                <w:rFonts w:hint="eastAsia" w:ascii="宋体" w:hAnsi="宋体"/>
                <w:b/>
              </w:rPr>
              <w:t>卫</w:t>
            </w:r>
          </w:p>
          <w:p>
            <w:pPr>
              <w:spacing w:line="360" w:lineRule="exact"/>
              <w:jc w:val="center"/>
              <w:rPr>
                <w:rFonts w:ascii="宋体"/>
                <w:b/>
              </w:rPr>
            </w:pPr>
            <w:r>
              <w:rPr>
                <w:rFonts w:hint="eastAsia" w:ascii="宋体" w:hAnsi="宋体"/>
                <w:b/>
              </w:rPr>
              <w:t>生</w:t>
            </w:r>
          </w:p>
          <w:p>
            <w:pPr>
              <w:spacing w:line="360" w:lineRule="exact"/>
              <w:jc w:val="center"/>
              <w:rPr>
                <w:rFonts w:ascii="宋体"/>
                <w:b/>
              </w:rPr>
            </w:pPr>
            <w:r>
              <w:rPr>
                <w:rFonts w:hint="eastAsia" w:ascii="宋体" w:hAnsi="宋体"/>
                <w:b/>
              </w:rPr>
              <w:t>室</w:t>
            </w:r>
          </w:p>
          <w:p>
            <w:pPr>
              <w:spacing w:line="360" w:lineRule="exact"/>
              <w:jc w:val="center"/>
              <w:rPr>
                <w:rFonts w:ascii="宋体"/>
                <w:b/>
              </w:rPr>
            </w:pPr>
            <w:r>
              <w:rPr>
                <w:rFonts w:hint="eastAsia" w:ascii="宋体" w:hAnsi="宋体"/>
                <w:b/>
              </w:rPr>
              <w:t>设</w:t>
            </w:r>
          </w:p>
          <w:p>
            <w:pPr>
              <w:spacing w:line="360" w:lineRule="exact"/>
              <w:jc w:val="center"/>
              <w:rPr>
                <w:rFonts w:ascii="宋体"/>
                <w:b/>
              </w:rPr>
            </w:pPr>
            <w:r>
              <w:rPr>
                <w:rFonts w:hint="eastAsia" w:ascii="宋体" w:hAnsi="宋体"/>
                <w:b/>
              </w:rPr>
              <w:t>置</w:t>
            </w:r>
          </w:p>
        </w:tc>
        <w:tc>
          <w:tcPr>
            <w:tcW w:w="772" w:type="dxa"/>
            <w:vMerge w:val="restart"/>
            <w:vAlign w:val="center"/>
          </w:tcPr>
          <w:p>
            <w:pPr>
              <w:spacing w:line="360" w:lineRule="exact"/>
              <w:rPr>
                <w:rFonts w:ascii="宋体"/>
              </w:rPr>
            </w:pPr>
            <w:r>
              <w:rPr>
                <w:rFonts w:ascii="宋体" w:hAnsi="宋体"/>
              </w:rPr>
              <w:t>20</w:t>
            </w:r>
            <w:r>
              <w:rPr>
                <w:rFonts w:hint="eastAsia" w:ascii="宋体" w:hAnsi="宋体"/>
              </w:rPr>
              <w:t>分</w:t>
            </w:r>
          </w:p>
        </w:tc>
        <w:tc>
          <w:tcPr>
            <w:tcW w:w="6077" w:type="dxa"/>
            <w:vAlign w:val="center"/>
          </w:tcPr>
          <w:p>
            <w:pPr>
              <w:widowControl/>
              <w:numPr>
                <w:ilvl w:val="0"/>
                <w:numId w:val="1"/>
              </w:numPr>
              <w:spacing w:line="360" w:lineRule="exact"/>
              <w:jc w:val="left"/>
              <w:rPr>
                <w:rFonts w:ascii="宋体"/>
              </w:rPr>
            </w:pPr>
            <w:r>
              <w:rPr>
                <w:rFonts w:hint="eastAsia" w:ascii="宋体" w:hAnsi="宋体"/>
              </w:rPr>
              <w:t>设立保健室或卫生室</w:t>
            </w:r>
            <w:r>
              <w:rPr>
                <w:rFonts w:hint="eastAsia" w:ascii="宋体" w:hAnsi="宋体"/>
                <w:bCs/>
              </w:rPr>
              <w:t>（</w:t>
            </w:r>
            <w:r>
              <w:rPr>
                <w:rFonts w:hint="eastAsia" w:ascii="宋体" w:hAnsi="宋体"/>
              </w:rPr>
              <w:t>必</w:t>
            </w:r>
            <w:r>
              <w:rPr>
                <w:rFonts w:hint="eastAsia" w:ascii="宋体" w:hAnsi="宋体"/>
                <w:bCs/>
              </w:rPr>
              <w:t>达项目）</w:t>
            </w:r>
          </w:p>
          <w:p>
            <w:pPr>
              <w:widowControl/>
              <w:numPr>
                <w:ilvl w:val="0"/>
                <w:numId w:val="1"/>
              </w:numPr>
              <w:spacing w:line="360" w:lineRule="exact"/>
              <w:jc w:val="left"/>
              <w:rPr>
                <w:rFonts w:ascii="宋体"/>
              </w:rPr>
            </w:pPr>
            <w:r>
              <w:rPr>
                <w:rFonts w:hint="eastAsia" w:ascii="宋体" w:hAnsi="宋体"/>
                <w:bCs/>
              </w:rPr>
              <w:t>卫生室需有《医疗机构执业许可证》（</w:t>
            </w:r>
            <w:r>
              <w:rPr>
                <w:rFonts w:hint="eastAsia" w:ascii="宋体" w:hAnsi="宋体"/>
              </w:rPr>
              <w:t>必</w:t>
            </w:r>
            <w:r>
              <w:rPr>
                <w:rFonts w:hint="eastAsia" w:ascii="宋体" w:hAnsi="宋体"/>
                <w:bCs/>
              </w:rPr>
              <w:t>达项目）</w:t>
            </w:r>
          </w:p>
        </w:tc>
        <w:tc>
          <w:tcPr>
            <w:tcW w:w="1148" w:type="dxa"/>
            <w:vAlign w:val="center"/>
          </w:tcPr>
          <w:p>
            <w:pPr>
              <w:spacing w:line="360" w:lineRule="exact"/>
              <w:rPr>
                <w:rFonts w:ascii="宋体"/>
              </w:rPr>
            </w:pPr>
            <w:r>
              <w:rPr>
                <w:rFonts w:hint="eastAsia" w:ascii="宋体" w:hAnsi="宋体"/>
              </w:rPr>
              <w:t>查看现场</w:t>
            </w:r>
          </w:p>
          <w:p>
            <w:pPr>
              <w:spacing w:line="360" w:lineRule="exact"/>
              <w:rPr>
                <w:rFonts w:ascii="宋体"/>
              </w:rPr>
            </w:pPr>
            <w:r>
              <w:rPr>
                <w:rFonts w:hint="eastAsia" w:ascii="宋体" w:hAnsi="宋体"/>
              </w:rPr>
              <w:t>查验证件</w:t>
            </w:r>
          </w:p>
        </w:tc>
        <w:tc>
          <w:tcPr>
            <w:tcW w:w="678" w:type="dxa"/>
            <w:vMerge w:val="restart"/>
          </w:tcPr>
          <w:p>
            <w:pPr>
              <w:spacing w:line="360" w:lineRule="exact"/>
              <w:rPr>
                <w:rFonts w:ascii="宋体"/>
              </w:rPr>
            </w:pPr>
          </w:p>
        </w:tc>
        <w:tc>
          <w:tcPr>
            <w:tcW w:w="663" w:type="dxa"/>
            <w:vMerge w:val="restart"/>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1" w:hRule="atLeast"/>
          <w:jc w:val="center"/>
        </w:trPr>
        <w:tc>
          <w:tcPr>
            <w:tcW w:w="867" w:type="dxa"/>
            <w:vMerge w:val="continue"/>
            <w:vAlign w:val="center"/>
          </w:tcPr>
          <w:p>
            <w:pPr>
              <w:widowControl/>
              <w:jc w:val="left"/>
              <w:rPr>
                <w:rFonts w:ascii="宋体"/>
                <w:b/>
              </w:rPr>
            </w:pPr>
          </w:p>
        </w:tc>
        <w:tc>
          <w:tcPr>
            <w:tcW w:w="772" w:type="dxa"/>
            <w:vMerge w:val="continue"/>
            <w:vAlign w:val="center"/>
          </w:tcPr>
          <w:p>
            <w:pPr>
              <w:widowControl/>
              <w:jc w:val="left"/>
              <w:rPr>
                <w:rFonts w:ascii="宋体"/>
              </w:rPr>
            </w:pPr>
          </w:p>
        </w:tc>
        <w:tc>
          <w:tcPr>
            <w:tcW w:w="6077" w:type="dxa"/>
            <w:vAlign w:val="center"/>
          </w:tcPr>
          <w:p>
            <w:pPr>
              <w:widowControl/>
              <w:numPr>
                <w:ilvl w:val="0"/>
                <w:numId w:val="1"/>
              </w:numPr>
              <w:spacing w:line="360" w:lineRule="exact"/>
              <w:jc w:val="left"/>
              <w:rPr>
                <w:rFonts w:ascii="宋体"/>
                <w:bCs/>
              </w:rPr>
            </w:pPr>
            <w:r>
              <w:rPr>
                <w:rFonts w:hint="eastAsia" w:ascii="宋体" w:hAnsi="宋体"/>
              </w:rPr>
              <w:t>保健室面积不少于</w:t>
            </w:r>
            <w:r>
              <w:rPr>
                <w:rFonts w:ascii="宋体" w:hAnsi="宋体"/>
              </w:rPr>
              <w:t>12</w:t>
            </w:r>
            <w:r>
              <w:rPr>
                <w:rFonts w:hint="eastAsia" w:ascii="宋体" w:hAnsi="宋体"/>
              </w:rPr>
              <w:t>平方米</w:t>
            </w:r>
            <w:r>
              <w:rPr>
                <w:rFonts w:hint="eastAsia" w:ascii="宋体" w:hAnsi="宋体"/>
                <w:bCs/>
              </w:rPr>
              <w:t>（</w:t>
            </w:r>
            <w:r>
              <w:rPr>
                <w:rFonts w:ascii="宋体" w:hAnsi="宋体"/>
                <w:bCs/>
              </w:rPr>
              <w:t>2</w:t>
            </w:r>
            <w:r>
              <w:rPr>
                <w:rFonts w:hint="eastAsia" w:ascii="宋体" w:hAnsi="宋体"/>
                <w:bCs/>
              </w:rPr>
              <w:t>分）</w:t>
            </w:r>
          </w:p>
        </w:tc>
        <w:tc>
          <w:tcPr>
            <w:tcW w:w="1148" w:type="dxa"/>
            <w:vMerge w:val="restart"/>
            <w:vAlign w:val="center"/>
          </w:tcPr>
          <w:p>
            <w:pPr>
              <w:spacing w:line="360" w:lineRule="exact"/>
              <w:rPr>
                <w:rFonts w:ascii="宋体"/>
              </w:rPr>
            </w:pPr>
            <w:r>
              <w:rPr>
                <w:rFonts w:hint="eastAsia" w:ascii="宋体" w:hAnsi="宋体"/>
              </w:rPr>
              <w:t>查看现场</w:t>
            </w:r>
          </w:p>
        </w:tc>
        <w:tc>
          <w:tcPr>
            <w:tcW w:w="678" w:type="dxa"/>
            <w:vMerge w:val="continue"/>
            <w:vAlign w:val="center"/>
          </w:tcPr>
          <w:p>
            <w:pPr>
              <w:widowControl/>
              <w:jc w:val="left"/>
              <w:rPr>
                <w:rFonts w:ascii="宋体"/>
              </w:rPr>
            </w:pPr>
          </w:p>
        </w:tc>
        <w:tc>
          <w:tcPr>
            <w:tcW w:w="663" w:type="dxa"/>
            <w:vMerge w:val="continue"/>
            <w:vAlign w:val="center"/>
          </w:tcPr>
          <w:p>
            <w:pPr>
              <w:widowControl/>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62" w:hRule="atLeast"/>
          <w:jc w:val="center"/>
        </w:trPr>
        <w:tc>
          <w:tcPr>
            <w:tcW w:w="867" w:type="dxa"/>
            <w:vMerge w:val="continue"/>
            <w:vAlign w:val="center"/>
          </w:tcPr>
          <w:p>
            <w:pPr>
              <w:widowControl/>
              <w:jc w:val="left"/>
              <w:rPr>
                <w:rFonts w:ascii="宋体"/>
                <w:b/>
              </w:rPr>
            </w:pPr>
          </w:p>
        </w:tc>
        <w:tc>
          <w:tcPr>
            <w:tcW w:w="772" w:type="dxa"/>
            <w:vMerge w:val="continue"/>
            <w:vAlign w:val="center"/>
          </w:tcPr>
          <w:p>
            <w:pPr>
              <w:widowControl/>
              <w:jc w:val="left"/>
              <w:rPr>
                <w:rFonts w:ascii="宋体"/>
              </w:rPr>
            </w:pPr>
          </w:p>
        </w:tc>
        <w:tc>
          <w:tcPr>
            <w:tcW w:w="6077" w:type="dxa"/>
            <w:vAlign w:val="center"/>
          </w:tcPr>
          <w:p>
            <w:pPr>
              <w:widowControl/>
              <w:numPr>
                <w:ilvl w:val="0"/>
                <w:numId w:val="1"/>
              </w:numPr>
              <w:spacing w:line="360" w:lineRule="exact"/>
              <w:jc w:val="left"/>
              <w:rPr>
                <w:rFonts w:ascii="宋体"/>
              </w:rPr>
            </w:pPr>
            <w:r>
              <w:rPr>
                <w:rFonts w:hint="eastAsia" w:ascii="宋体" w:hAnsi="宋体"/>
              </w:rPr>
              <w:t>保健室设有儿童观察床</w:t>
            </w:r>
            <w:r>
              <w:rPr>
                <w:rFonts w:hint="eastAsia" w:ascii="宋体" w:hAnsi="宋体"/>
                <w:bCs/>
              </w:rPr>
              <w:t>（</w:t>
            </w:r>
            <w:r>
              <w:rPr>
                <w:rFonts w:ascii="宋体" w:hAnsi="宋体"/>
                <w:bCs/>
              </w:rPr>
              <w:t>2</w:t>
            </w:r>
            <w:r>
              <w:rPr>
                <w:rFonts w:hint="eastAsia" w:ascii="宋体" w:hAnsi="宋体"/>
                <w:bCs/>
              </w:rPr>
              <w:t>分）</w:t>
            </w:r>
          </w:p>
          <w:p>
            <w:pPr>
              <w:widowControl/>
              <w:numPr>
                <w:ilvl w:val="0"/>
                <w:numId w:val="1"/>
              </w:numPr>
              <w:spacing w:line="360" w:lineRule="exact"/>
              <w:jc w:val="left"/>
              <w:rPr>
                <w:rFonts w:ascii="宋体"/>
              </w:rPr>
            </w:pPr>
            <w:r>
              <w:rPr>
                <w:rFonts w:hint="eastAsia" w:ascii="宋体" w:hAnsi="宋体"/>
              </w:rPr>
              <w:t>配备桌椅、药品柜、资料柜</w:t>
            </w:r>
            <w:r>
              <w:rPr>
                <w:rFonts w:hint="eastAsia" w:ascii="宋体" w:hAnsi="宋体"/>
                <w:bCs/>
              </w:rPr>
              <w:t>（</w:t>
            </w:r>
            <w:r>
              <w:rPr>
                <w:rFonts w:ascii="宋体" w:hAnsi="宋体"/>
                <w:bCs/>
              </w:rPr>
              <w:t>3</w:t>
            </w:r>
            <w:r>
              <w:rPr>
                <w:rFonts w:hint="eastAsia" w:ascii="宋体" w:hAnsi="宋体"/>
                <w:bCs/>
              </w:rPr>
              <w:t>分）</w:t>
            </w:r>
          </w:p>
          <w:p>
            <w:pPr>
              <w:widowControl/>
              <w:numPr>
                <w:ilvl w:val="0"/>
                <w:numId w:val="1"/>
              </w:numPr>
              <w:spacing w:line="360" w:lineRule="exact"/>
              <w:jc w:val="left"/>
              <w:rPr>
                <w:rFonts w:ascii="宋体"/>
              </w:rPr>
            </w:pPr>
            <w:r>
              <w:rPr>
                <w:rFonts w:hint="eastAsia" w:ascii="宋体" w:hAnsi="宋体"/>
              </w:rPr>
              <w:t>有流动水或代用流动水的设施</w:t>
            </w:r>
            <w:r>
              <w:rPr>
                <w:rFonts w:hint="eastAsia" w:ascii="宋体" w:hAnsi="宋体"/>
                <w:bCs/>
              </w:rPr>
              <w:t>（</w:t>
            </w:r>
            <w:r>
              <w:rPr>
                <w:rFonts w:ascii="宋体" w:hAnsi="宋体"/>
                <w:bCs/>
              </w:rPr>
              <w:t>2</w:t>
            </w:r>
            <w:r>
              <w:rPr>
                <w:rFonts w:hint="eastAsia" w:ascii="宋体" w:hAnsi="宋体"/>
                <w:bCs/>
              </w:rPr>
              <w:t>分）</w:t>
            </w:r>
          </w:p>
        </w:tc>
        <w:tc>
          <w:tcPr>
            <w:tcW w:w="1148" w:type="dxa"/>
            <w:vMerge w:val="continue"/>
            <w:vAlign w:val="center"/>
          </w:tcPr>
          <w:p>
            <w:pPr>
              <w:widowControl/>
              <w:jc w:val="left"/>
              <w:rPr>
                <w:rFonts w:ascii="宋体"/>
              </w:rPr>
            </w:pPr>
          </w:p>
        </w:tc>
        <w:tc>
          <w:tcPr>
            <w:tcW w:w="678" w:type="dxa"/>
            <w:vMerge w:val="continue"/>
            <w:vAlign w:val="center"/>
          </w:tcPr>
          <w:p>
            <w:pPr>
              <w:widowControl/>
              <w:jc w:val="left"/>
              <w:rPr>
                <w:rFonts w:ascii="宋体"/>
              </w:rPr>
            </w:pPr>
          </w:p>
        </w:tc>
        <w:tc>
          <w:tcPr>
            <w:tcW w:w="663" w:type="dxa"/>
            <w:vMerge w:val="continue"/>
            <w:vAlign w:val="center"/>
          </w:tcPr>
          <w:p>
            <w:pPr>
              <w:widowControl/>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50" w:hRule="atLeast"/>
          <w:jc w:val="center"/>
        </w:trPr>
        <w:tc>
          <w:tcPr>
            <w:tcW w:w="867" w:type="dxa"/>
            <w:vMerge w:val="continue"/>
            <w:vAlign w:val="center"/>
          </w:tcPr>
          <w:p>
            <w:pPr>
              <w:widowControl/>
              <w:jc w:val="left"/>
              <w:rPr>
                <w:rFonts w:ascii="宋体"/>
                <w:b/>
              </w:rPr>
            </w:pPr>
          </w:p>
        </w:tc>
        <w:tc>
          <w:tcPr>
            <w:tcW w:w="772" w:type="dxa"/>
            <w:vMerge w:val="continue"/>
            <w:vAlign w:val="center"/>
          </w:tcPr>
          <w:p>
            <w:pPr>
              <w:widowControl/>
              <w:jc w:val="left"/>
              <w:rPr>
                <w:rFonts w:ascii="宋体"/>
              </w:rPr>
            </w:pPr>
          </w:p>
        </w:tc>
        <w:tc>
          <w:tcPr>
            <w:tcW w:w="6077" w:type="dxa"/>
            <w:vAlign w:val="center"/>
          </w:tcPr>
          <w:p>
            <w:pPr>
              <w:widowControl/>
              <w:numPr>
                <w:ilvl w:val="0"/>
                <w:numId w:val="1"/>
              </w:numPr>
              <w:spacing w:line="360" w:lineRule="exact"/>
              <w:ind w:right="-40" w:rightChars="-19"/>
              <w:jc w:val="left"/>
              <w:rPr>
                <w:rFonts w:ascii="宋体"/>
                <w:bCs/>
              </w:rPr>
            </w:pPr>
            <w:r>
              <w:rPr>
                <w:rFonts w:hint="eastAsia" w:ascii="宋体" w:hAnsi="宋体"/>
              </w:rPr>
              <w:t>配备儿童杠杆式体重秤、</w:t>
            </w:r>
            <w:r>
              <w:rPr>
                <w:rFonts w:hint="eastAsia" w:ascii="宋体" w:hAnsi="宋体"/>
                <w:bCs/>
              </w:rPr>
              <w:t>身高计（供</w:t>
            </w:r>
            <w:r>
              <w:rPr>
                <w:rFonts w:ascii="宋体" w:hAnsi="宋体"/>
                <w:bCs/>
              </w:rPr>
              <w:t>2</w:t>
            </w:r>
            <w:r>
              <w:rPr>
                <w:rFonts w:hint="eastAsia" w:ascii="宋体" w:hAnsi="宋体"/>
                <w:bCs/>
              </w:rPr>
              <w:t>岁以上儿童使用）、量床（供</w:t>
            </w:r>
            <w:r>
              <w:rPr>
                <w:rFonts w:ascii="宋体" w:hAnsi="宋体"/>
                <w:bCs/>
              </w:rPr>
              <w:t>2</w:t>
            </w:r>
            <w:r>
              <w:rPr>
                <w:rFonts w:hint="eastAsia" w:ascii="宋体" w:hAnsi="宋体"/>
                <w:bCs/>
              </w:rPr>
              <w:t>岁及以下儿童使用）</w:t>
            </w:r>
            <w:r>
              <w:rPr>
                <w:rFonts w:hint="eastAsia" w:ascii="宋体" w:hAnsi="宋体"/>
              </w:rPr>
              <w:t>、国际标准视力表或标准对数视力表灯箱、体围测量软尺等设备（</w:t>
            </w:r>
            <w:r>
              <w:rPr>
                <w:rFonts w:ascii="宋体" w:hAnsi="宋体"/>
              </w:rPr>
              <w:t>4</w:t>
            </w:r>
            <w:r>
              <w:rPr>
                <w:rFonts w:hint="eastAsia" w:ascii="宋体" w:hAnsi="宋体"/>
              </w:rPr>
              <w:t>分）</w:t>
            </w:r>
          </w:p>
          <w:p>
            <w:pPr>
              <w:widowControl/>
              <w:numPr>
                <w:ilvl w:val="0"/>
                <w:numId w:val="1"/>
              </w:numPr>
              <w:spacing w:line="360" w:lineRule="exact"/>
              <w:jc w:val="left"/>
              <w:rPr>
                <w:rFonts w:ascii="宋体"/>
                <w:bCs/>
              </w:rPr>
            </w:pPr>
            <w:r>
              <w:rPr>
                <w:rFonts w:hint="eastAsia" w:ascii="宋体" w:hAnsi="宋体"/>
              </w:rPr>
              <w:t>配备消毒压舌板、体温计、手电筒等晨检用品（</w:t>
            </w:r>
            <w:r>
              <w:rPr>
                <w:rFonts w:ascii="宋体" w:hAnsi="宋体"/>
              </w:rPr>
              <w:t>3</w:t>
            </w:r>
            <w:r>
              <w:rPr>
                <w:rFonts w:hint="eastAsia" w:ascii="宋体" w:hAnsi="宋体"/>
              </w:rPr>
              <w:t>分）</w:t>
            </w:r>
          </w:p>
        </w:tc>
        <w:tc>
          <w:tcPr>
            <w:tcW w:w="1148" w:type="dxa"/>
            <w:vMerge w:val="continue"/>
            <w:vAlign w:val="center"/>
          </w:tcPr>
          <w:p>
            <w:pPr>
              <w:widowControl/>
              <w:jc w:val="left"/>
              <w:rPr>
                <w:rFonts w:ascii="宋体"/>
              </w:rPr>
            </w:pPr>
          </w:p>
        </w:tc>
        <w:tc>
          <w:tcPr>
            <w:tcW w:w="678" w:type="dxa"/>
            <w:vMerge w:val="continue"/>
            <w:vAlign w:val="center"/>
          </w:tcPr>
          <w:p>
            <w:pPr>
              <w:widowControl/>
              <w:jc w:val="left"/>
              <w:rPr>
                <w:rFonts w:ascii="宋体"/>
              </w:rPr>
            </w:pPr>
          </w:p>
        </w:tc>
        <w:tc>
          <w:tcPr>
            <w:tcW w:w="663" w:type="dxa"/>
            <w:vMerge w:val="continue"/>
            <w:vAlign w:val="center"/>
          </w:tcPr>
          <w:p>
            <w:pPr>
              <w:widowControl/>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16" w:hRule="atLeast"/>
          <w:jc w:val="center"/>
        </w:trPr>
        <w:tc>
          <w:tcPr>
            <w:tcW w:w="867" w:type="dxa"/>
            <w:vMerge w:val="continue"/>
            <w:vAlign w:val="center"/>
          </w:tcPr>
          <w:p>
            <w:pPr>
              <w:widowControl/>
              <w:jc w:val="left"/>
              <w:rPr>
                <w:rFonts w:ascii="宋体"/>
                <w:b/>
              </w:rPr>
            </w:pPr>
          </w:p>
        </w:tc>
        <w:tc>
          <w:tcPr>
            <w:tcW w:w="772" w:type="dxa"/>
            <w:vMerge w:val="continue"/>
            <w:vAlign w:val="center"/>
          </w:tcPr>
          <w:p>
            <w:pPr>
              <w:widowControl/>
              <w:jc w:val="left"/>
              <w:rPr>
                <w:rFonts w:ascii="宋体"/>
              </w:rPr>
            </w:pPr>
          </w:p>
        </w:tc>
        <w:tc>
          <w:tcPr>
            <w:tcW w:w="6077" w:type="dxa"/>
            <w:vAlign w:val="center"/>
          </w:tcPr>
          <w:p>
            <w:pPr>
              <w:widowControl/>
              <w:numPr>
                <w:ilvl w:val="0"/>
                <w:numId w:val="1"/>
              </w:numPr>
              <w:spacing w:line="360" w:lineRule="exact"/>
              <w:jc w:val="left"/>
              <w:rPr>
                <w:rFonts w:ascii="宋体"/>
              </w:rPr>
            </w:pPr>
            <w:r>
              <w:rPr>
                <w:rFonts w:hint="eastAsia" w:ascii="宋体" w:hAnsi="宋体"/>
              </w:rPr>
              <w:t>有</w:t>
            </w:r>
            <w:bookmarkStart w:id="3" w:name="OLE_LINK2"/>
            <w:bookmarkStart w:id="4" w:name="OLE_LINK1"/>
            <w:r>
              <w:rPr>
                <w:rFonts w:hint="eastAsia" w:ascii="宋体" w:hAnsi="宋体"/>
              </w:rPr>
              <w:t>消毒剂</w:t>
            </w:r>
            <w:bookmarkEnd w:id="3"/>
            <w:bookmarkEnd w:id="4"/>
            <w:r>
              <w:rPr>
                <w:rFonts w:hint="eastAsia" w:ascii="宋体" w:hAnsi="宋体"/>
                <w:bCs/>
              </w:rPr>
              <w:t>（</w:t>
            </w:r>
            <w:r>
              <w:rPr>
                <w:rFonts w:ascii="宋体" w:hAnsi="宋体"/>
                <w:bCs/>
              </w:rPr>
              <w:t>2</w:t>
            </w:r>
            <w:r>
              <w:rPr>
                <w:rFonts w:hint="eastAsia" w:ascii="宋体" w:hAnsi="宋体"/>
                <w:bCs/>
              </w:rPr>
              <w:t>分）</w:t>
            </w:r>
          </w:p>
          <w:p>
            <w:pPr>
              <w:widowControl/>
              <w:numPr>
                <w:ilvl w:val="0"/>
                <w:numId w:val="1"/>
              </w:numPr>
              <w:spacing w:line="360" w:lineRule="exact"/>
              <w:jc w:val="left"/>
              <w:rPr>
                <w:rFonts w:ascii="宋体"/>
              </w:rPr>
            </w:pPr>
            <w:r>
              <w:rPr>
                <w:rFonts w:hint="eastAsia" w:ascii="宋体" w:hAnsi="宋体"/>
              </w:rPr>
              <w:t>配备紫外线消毒灯或其他空气消毒装置</w:t>
            </w:r>
            <w:r>
              <w:rPr>
                <w:rFonts w:hint="eastAsia" w:ascii="宋体" w:hAnsi="宋体"/>
                <w:bCs/>
              </w:rPr>
              <w:t>（</w:t>
            </w:r>
            <w:r>
              <w:rPr>
                <w:rFonts w:ascii="宋体" w:hAnsi="宋体"/>
                <w:bCs/>
              </w:rPr>
              <w:t>2</w:t>
            </w:r>
            <w:r>
              <w:rPr>
                <w:rFonts w:hint="eastAsia" w:ascii="宋体" w:hAnsi="宋体"/>
                <w:bCs/>
              </w:rPr>
              <w:t>分）</w:t>
            </w:r>
          </w:p>
        </w:tc>
        <w:tc>
          <w:tcPr>
            <w:tcW w:w="1148" w:type="dxa"/>
            <w:vMerge w:val="continue"/>
            <w:vAlign w:val="center"/>
          </w:tcPr>
          <w:p>
            <w:pPr>
              <w:widowControl/>
              <w:jc w:val="left"/>
              <w:rPr>
                <w:rFonts w:ascii="宋体"/>
              </w:rPr>
            </w:pPr>
          </w:p>
        </w:tc>
        <w:tc>
          <w:tcPr>
            <w:tcW w:w="678" w:type="dxa"/>
            <w:vMerge w:val="continue"/>
            <w:vAlign w:val="center"/>
          </w:tcPr>
          <w:p>
            <w:pPr>
              <w:widowControl/>
              <w:jc w:val="left"/>
              <w:rPr>
                <w:rFonts w:ascii="宋体"/>
              </w:rPr>
            </w:pPr>
          </w:p>
        </w:tc>
        <w:tc>
          <w:tcPr>
            <w:tcW w:w="663" w:type="dxa"/>
            <w:vMerge w:val="continue"/>
            <w:vAlign w:val="center"/>
          </w:tcPr>
          <w:p>
            <w:pPr>
              <w:widowControl/>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35" w:hRule="atLeast"/>
          <w:jc w:val="center"/>
        </w:trPr>
        <w:tc>
          <w:tcPr>
            <w:tcW w:w="867" w:type="dxa"/>
            <w:vMerge w:val="restart"/>
            <w:vAlign w:val="center"/>
          </w:tcPr>
          <w:p>
            <w:pPr>
              <w:spacing w:line="280" w:lineRule="exact"/>
              <w:jc w:val="center"/>
              <w:rPr>
                <w:rFonts w:ascii="宋体"/>
                <w:b/>
                <w:bCs/>
              </w:rPr>
            </w:pPr>
            <w:r>
              <w:rPr>
                <w:rFonts w:hint="eastAsia" w:ascii="宋体" w:hAnsi="宋体"/>
                <w:b/>
                <w:bCs/>
              </w:rPr>
              <w:t>卫</w:t>
            </w:r>
          </w:p>
          <w:p>
            <w:pPr>
              <w:spacing w:line="280" w:lineRule="exact"/>
              <w:jc w:val="center"/>
              <w:rPr>
                <w:rFonts w:ascii="宋体"/>
                <w:b/>
                <w:bCs/>
              </w:rPr>
            </w:pPr>
            <w:r>
              <w:rPr>
                <w:rFonts w:hint="eastAsia" w:ascii="宋体" w:hAnsi="宋体"/>
                <w:b/>
                <w:bCs/>
              </w:rPr>
              <w:t>生</w:t>
            </w:r>
          </w:p>
          <w:p>
            <w:pPr>
              <w:spacing w:line="280" w:lineRule="exact"/>
              <w:jc w:val="center"/>
              <w:rPr>
                <w:rFonts w:ascii="宋体"/>
                <w:b/>
                <w:bCs/>
              </w:rPr>
            </w:pPr>
            <w:r>
              <w:rPr>
                <w:rFonts w:hint="eastAsia" w:ascii="宋体" w:hAnsi="宋体"/>
                <w:b/>
                <w:bCs/>
              </w:rPr>
              <w:t>保</w:t>
            </w:r>
          </w:p>
          <w:p>
            <w:pPr>
              <w:spacing w:line="280" w:lineRule="exact"/>
              <w:jc w:val="center"/>
              <w:rPr>
                <w:rFonts w:ascii="宋体"/>
                <w:b/>
                <w:bCs/>
              </w:rPr>
            </w:pPr>
            <w:r>
              <w:rPr>
                <w:rFonts w:hint="eastAsia" w:ascii="宋体" w:hAnsi="宋体"/>
                <w:b/>
                <w:bCs/>
              </w:rPr>
              <w:t>健</w:t>
            </w:r>
          </w:p>
          <w:p>
            <w:pPr>
              <w:spacing w:line="280" w:lineRule="exact"/>
              <w:jc w:val="center"/>
              <w:rPr>
                <w:rFonts w:ascii="宋体"/>
                <w:b/>
                <w:bCs/>
              </w:rPr>
            </w:pPr>
            <w:r>
              <w:rPr>
                <w:rFonts w:hint="eastAsia" w:ascii="宋体" w:hAnsi="宋体"/>
                <w:b/>
                <w:bCs/>
              </w:rPr>
              <w:t>人</w:t>
            </w:r>
          </w:p>
          <w:p>
            <w:pPr>
              <w:spacing w:line="280" w:lineRule="exact"/>
              <w:jc w:val="center"/>
              <w:rPr>
                <w:rFonts w:ascii="宋体"/>
                <w:b/>
                <w:bCs/>
              </w:rPr>
            </w:pPr>
            <w:r>
              <w:rPr>
                <w:rFonts w:hint="eastAsia" w:ascii="宋体" w:hAnsi="宋体"/>
                <w:b/>
                <w:bCs/>
              </w:rPr>
              <w:t>员</w:t>
            </w:r>
          </w:p>
          <w:p>
            <w:pPr>
              <w:spacing w:line="280" w:lineRule="exact"/>
              <w:jc w:val="center"/>
              <w:rPr>
                <w:rFonts w:ascii="宋体"/>
                <w:b/>
                <w:bCs/>
              </w:rPr>
            </w:pPr>
            <w:r>
              <w:rPr>
                <w:rFonts w:hint="eastAsia" w:ascii="宋体" w:hAnsi="宋体"/>
                <w:b/>
                <w:bCs/>
              </w:rPr>
              <w:t>配</w:t>
            </w:r>
          </w:p>
          <w:p>
            <w:pPr>
              <w:spacing w:line="280" w:lineRule="exact"/>
              <w:jc w:val="center"/>
              <w:rPr>
                <w:rFonts w:ascii="宋体"/>
                <w:b/>
                <w:bCs/>
              </w:rPr>
            </w:pPr>
            <w:r>
              <w:rPr>
                <w:rFonts w:hint="eastAsia" w:ascii="宋体" w:hAnsi="宋体"/>
                <w:b/>
                <w:bCs/>
              </w:rPr>
              <w:t>备</w:t>
            </w:r>
          </w:p>
        </w:tc>
        <w:tc>
          <w:tcPr>
            <w:tcW w:w="772" w:type="dxa"/>
            <w:vMerge w:val="restart"/>
            <w:vAlign w:val="center"/>
          </w:tcPr>
          <w:p>
            <w:pPr>
              <w:spacing w:line="360" w:lineRule="exact"/>
              <w:rPr>
                <w:rFonts w:ascii="宋体"/>
              </w:rPr>
            </w:pPr>
            <w:r>
              <w:rPr>
                <w:rFonts w:ascii="宋体" w:hAnsi="宋体"/>
              </w:rPr>
              <w:t>15</w:t>
            </w:r>
            <w:r>
              <w:rPr>
                <w:rFonts w:hint="eastAsia" w:ascii="宋体" w:hAnsi="宋体"/>
              </w:rPr>
              <w:t>分</w:t>
            </w:r>
          </w:p>
        </w:tc>
        <w:tc>
          <w:tcPr>
            <w:tcW w:w="6077" w:type="dxa"/>
            <w:vAlign w:val="center"/>
          </w:tcPr>
          <w:p>
            <w:pPr>
              <w:widowControl/>
              <w:numPr>
                <w:ilvl w:val="0"/>
                <w:numId w:val="1"/>
              </w:numPr>
              <w:spacing w:line="360" w:lineRule="exact"/>
              <w:jc w:val="left"/>
              <w:rPr>
                <w:rFonts w:ascii="宋体"/>
                <w:bCs/>
              </w:rPr>
            </w:pPr>
            <w:r>
              <w:rPr>
                <w:rFonts w:hint="eastAsia" w:ascii="宋体" w:hAnsi="宋体"/>
              </w:rPr>
              <w:t>配备符合国家规定的卫生保健人员</w:t>
            </w:r>
            <w:r>
              <w:rPr>
                <w:rFonts w:hint="eastAsia" w:ascii="宋体" w:hAnsi="宋体"/>
                <w:bCs/>
              </w:rPr>
              <w:t>（</w:t>
            </w:r>
            <w:r>
              <w:rPr>
                <w:rFonts w:hint="eastAsia" w:ascii="宋体" w:hAnsi="宋体"/>
              </w:rPr>
              <w:t>必</w:t>
            </w:r>
            <w:r>
              <w:rPr>
                <w:rFonts w:hint="eastAsia" w:ascii="宋体" w:hAnsi="宋体"/>
                <w:bCs/>
              </w:rPr>
              <w:t>达项目）</w:t>
            </w:r>
          </w:p>
        </w:tc>
        <w:tc>
          <w:tcPr>
            <w:tcW w:w="1148" w:type="dxa"/>
            <w:vMerge w:val="restart"/>
            <w:vAlign w:val="center"/>
          </w:tcPr>
          <w:p>
            <w:pPr>
              <w:spacing w:line="360" w:lineRule="exact"/>
              <w:rPr>
                <w:rFonts w:ascii="宋体"/>
              </w:rPr>
            </w:pPr>
            <w:r>
              <w:rPr>
                <w:rFonts w:hint="eastAsia" w:ascii="宋体" w:hAnsi="宋体"/>
              </w:rPr>
              <w:t>查看资料</w:t>
            </w:r>
          </w:p>
        </w:tc>
        <w:tc>
          <w:tcPr>
            <w:tcW w:w="678" w:type="dxa"/>
            <w:vMerge w:val="restart"/>
          </w:tcPr>
          <w:p>
            <w:pPr>
              <w:spacing w:line="360" w:lineRule="exact"/>
              <w:rPr>
                <w:rFonts w:ascii="宋体"/>
              </w:rPr>
            </w:pPr>
          </w:p>
        </w:tc>
        <w:tc>
          <w:tcPr>
            <w:tcW w:w="663" w:type="dxa"/>
            <w:vMerge w:val="restart"/>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14" w:hRule="atLeast"/>
          <w:jc w:val="center"/>
        </w:trPr>
        <w:tc>
          <w:tcPr>
            <w:tcW w:w="867" w:type="dxa"/>
            <w:vMerge w:val="continue"/>
            <w:vAlign w:val="center"/>
          </w:tcPr>
          <w:p>
            <w:pPr>
              <w:widowControl/>
              <w:jc w:val="left"/>
              <w:rPr>
                <w:rFonts w:ascii="宋体"/>
                <w:b/>
                <w:bCs/>
              </w:rPr>
            </w:pPr>
          </w:p>
        </w:tc>
        <w:tc>
          <w:tcPr>
            <w:tcW w:w="772" w:type="dxa"/>
            <w:vMerge w:val="continue"/>
            <w:vAlign w:val="center"/>
          </w:tcPr>
          <w:p>
            <w:pPr>
              <w:widowControl/>
              <w:jc w:val="left"/>
              <w:rPr>
                <w:rFonts w:ascii="宋体"/>
              </w:rPr>
            </w:pPr>
          </w:p>
        </w:tc>
        <w:tc>
          <w:tcPr>
            <w:tcW w:w="6077" w:type="dxa"/>
            <w:vAlign w:val="center"/>
          </w:tcPr>
          <w:p>
            <w:pPr>
              <w:widowControl/>
              <w:numPr>
                <w:ilvl w:val="0"/>
                <w:numId w:val="1"/>
              </w:numPr>
              <w:spacing w:line="360" w:lineRule="exact"/>
              <w:jc w:val="left"/>
              <w:rPr>
                <w:rFonts w:ascii="宋体"/>
              </w:rPr>
            </w:pPr>
            <w:r>
              <w:rPr>
                <w:rFonts w:hint="eastAsia" w:ascii="宋体" w:hAnsi="宋体"/>
              </w:rPr>
              <w:t>卫生保健工作的第一责任人是托幼机构的法定代表人或负责人（</w:t>
            </w:r>
            <w:r>
              <w:rPr>
                <w:rFonts w:ascii="宋体" w:hAnsi="宋体"/>
              </w:rPr>
              <w:t>5</w:t>
            </w:r>
            <w:r>
              <w:rPr>
                <w:rFonts w:hint="eastAsia" w:ascii="宋体" w:hAnsi="宋体"/>
              </w:rPr>
              <w:t>分）</w:t>
            </w:r>
          </w:p>
        </w:tc>
        <w:tc>
          <w:tcPr>
            <w:tcW w:w="1148" w:type="dxa"/>
            <w:vMerge w:val="continue"/>
            <w:vAlign w:val="center"/>
          </w:tcPr>
          <w:p>
            <w:pPr>
              <w:widowControl/>
              <w:jc w:val="left"/>
              <w:rPr>
                <w:rFonts w:ascii="宋体"/>
              </w:rPr>
            </w:pPr>
          </w:p>
        </w:tc>
        <w:tc>
          <w:tcPr>
            <w:tcW w:w="678" w:type="dxa"/>
            <w:vMerge w:val="continue"/>
            <w:vAlign w:val="center"/>
          </w:tcPr>
          <w:p>
            <w:pPr>
              <w:widowControl/>
              <w:jc w:val="left"/>
              <w:rPr>
                <w:rFonts w:ascii="宋体"/>
              </w:rPr>
            </w:pPr>
          </w:p>
        </w:tc>
        <w:tc>
          <w:tcPr>
            <w:tcW w:w="663" w:type="dxa"/>
            <w:vMerge w:val="continue"/>
            <w:vAlign w:val="center"/>
          </w:tcPr>
          <w:p>
            <w:pPr>
              <w:widowControl/>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25" w:hRule="atLeast"/>
          <w:jc w:val="center"/>
        </w:trPr>
        <w:tc>
          <w:tcPr>
            <w:tcW w:w="867" w:type="dxa"/>
            <w:vMerge w:val="continue"/>
            <w:vAlign w:val="center"/>
          </w:tcPr>
          <w:p>
            <w:pPr>
              <w:widowControl/>
              <w:jc w:val="left"/>
              <w:rPr>
                <w:rFonts w:ascii="宋体"/>
                <w:b/>
                <w:bCs/>
              </w:rPr>
            </w:pPr>
          </w:p>
        </w:tc>
        <w:tc>
          <w:tcPr>
            <w:tcW w:w="772" w:type="dxa"/>
            <w:vMerge w:val="continue"/>
            <w:vAlign w:val="center"/>
          </w:tcPr>
          <w:p>
            <w:pPr>
              <w:widowControl/>
              <w:jc w:val="left"/>
              <w:rPr>
                <w:rFonts w:ascii="宋体"/>
              </w:rPr>
            </w:pPr>
          </w:p>
        </w:tc>
        <w:tc>
          <w:tcPr>
            <w:tcW w:w="6077" w:type="dxa"/>
            <w:vAlign w:val="center"/>
          </w:tcPr>
          <w:p>
            <w:pPr>
              <w:widowControl/>
              <w:numPr>
                <w:ilvl w:val="0"/>
                <w:numId w:val="1"/>
              </w:numPr>
              <w:spacing w:line="360" w:lineRule="exact"/>
              <w:jc w:val="left"/>
              <w:rPr>
                <w:rFonts w:ascii="宋体"/>
              </w:rPr>
            </w:pPr>
            <w:r>
              <w:rPr>
                <w:rFonts w:hint="eastAsia" w:ascii="宋体" w:hAnsi="宋体"/>
                <w:bCs/>
              </w:rPr>
              <w:t>按照收托</w:t>
            </w:r>
            <w:r>
              <w:rPr>
                <w:rFonts w:ascii="宋体" w:hAnsi="宋体"/>
                <w:bCs/>
              </w:rPr>
              <w:t>150</w:t>
            </w:r>
            <w:r>
              <w:rPr>
                <w:rFonts w:hint="eastAsia" w:ascii="宋体" w:hAnsi="宋体"/>
                <w:bCs/>
              </w:rPr>
              <w:t>名儿童设</w:t>
            </w:r>
            <w:r>
              <w:rPr>
                <w:rFonts w:ascii="宋体" w:hAnsi="宋体"/>
                <w:bCs/>
              </w:rPr>
              <w:t>1</w:t>
            </w:r>
            <w:r>
              <w:rPr>
                <w:rFonts w:hint="eastAsia" w:ascii="宋体" w:hAnsi="宋体"/>
                <w:bCs/>
              </w:rPr>
              <w:t>名专职卫生保健人员的比例配备（收托</w:t>
            </w:r>
            <w:r>
              <w:rPr>
                <w:rFonts w:ascii="宋体" w:hAnsi="宋体"/>
                <w:bCs/>
              </w:rPr>
              <w:t>150</w:t>
            </w:r>
            <w:r>
              <w:rPr>
                <w:rFonts w:hint="eastAsia" w:ascii="宋体" w:hAnsi="宋体"/>
                <w:bCs/>
              </w:rPr>
              <w:t>名以下儿童的可配备兼职卫生保健人员）（</w:t>
            </w:r>
            <w:r>
              <w:rPr>
                <w:rFonts w:ascii="宋体" w:hAnsi="宋体"/>
                <w:bCs/>
              </w:rPr>
              <w:t>5</w:t>
            </w:r>
            <w:r>
              <w:rPr>
                <w:rFonts w:hint="eastAsia" w:ascii="宋体" w:hAnsi="宋体"/>
                <w:bCs/>
              </w:rPr>
              <w:t>分）</w:t>
            </w:r>
          </w:p>
          <w:p>
            <w:pPr>
              <w:widowControl/>
              <w:numPr>
                <w:ilvl w:val="0"/>
                <w:numId w:val="1"/>
              </w:numPr>
              <w:spacing w:line="360" w:lineRule="exact"/>
              <w:jc w:val="left"/>
              <w:rPr>
                <w:rFonts w:ascii="宋体"/>
              </w:rPr>
            </w:pPr>
            <w:r>
              <w:rPr>
                <w:rFonts w:hint="eastAsia" w:ascii="宋体" w:hAnsi="宋体"/>
              </w:rPr>
              <w:t>卫生保健人员上岗前</w:t>
            </w:r>
            <w:r>
              <w:rPr>
                <w:rFonts w:hint="eastAsia" w:ascii="宋体" w:hAnsi="宋体"/>
                <w:bCs/>
              </w:rPr>
              <w:t>接受培训并考核合格（</w:t>
            </w:r>
            <w:r>
              <w:rPr>
                <w:rFonts w:ascii="宋体" w:hAnsi="宋体"/>
                <w:bCs/>
              </w:rPr>
              <w:t>5</w:t>
            </w:r>
            <w:r>
              <w:rPr>
                <w:rFonts w:hint="eastAsia" w:ascii="宋体" w:hAnsi="宋体"/>
                <w:bCs/>
              </w:rPr>
              <w:t>分）</w:t>
            </w:r>
          </w:p>
        </w:tc>
        <w:tc>
          <w:tcPr>
            <w:tcW w:w="1148" w:type="dxa"/>
            <w:vMerge w:val="continue"/>
            <w:vAlign w:val="center"/>
          </w:tcPr>
          <w:p>
            <w:pPr>
              <w:widowControl/>
              <w:jc w:val="left"/>
              <w:rPr>
                <w:rFonts w:ascii="宋体"/>
              </w:rPr>
            </w:pPr>
          </w:p>
        </w:tc>
        <w:tc>
          <w:tcPr>
            <w:tcW w:w="678" w:type="dxa"/>
            <w:vMerge w:val="continue"/>
            <w:vAlign w:val="center"/>
          </w:tcPr>
          <w:p>
            <w:pPr>
              <w:widowControl/>
              <w:jc w:val="left"/>
              <w:rPr>
                <w:rFonts w:ascii="宋体"/>
              </w:rPr>
            </w:pPr>
          </w:p>
        </w:tc>
        <w:tc>
          <w:tcPr>
            <w:tcW w:w="663" w:type="dxa"/>
            <w:vMerge w:val="continue"/>
            <w:vAlign w:val="center"/>
          </w:tcPr>
          <w:p>
            <w:pPr>
              <w:widowControl/>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72" w:hRule="atLeast"/>
          <w:jc w:val="center"/>
        </w:trPr>
        <w:tc>
          <w:tcPr>
            <w:tcW w:w="867" w:type="dxa"/>
            <w:vAlign w:val="center"/>
          </w:tcPr>
          <w:p>
            <w:pPr>
              <w:spacing w:line="280" w:lineRule="exact"/>
              <w:jc w:val="center"/>
              <w:rPr>
                <w:rFonts w:ascii="宋体"/>
                <w:b/>
                <w:bCs/>
              </w:rPr>
            </w:pPr>
            <w:r>
              <w:rPr>
                <w:rFonts w:hint="eastAsia" w:ascii="宋体" w:hAnsi="宋体"/>
                <w:b/>
                <w:bCs/>
              </w:rPr>
              <w:t>工</w:t>
            </w:r>
          </w:p>
          <w:p>
            <w:pPr>
              <w:spacing w:line="280" w:lineRule="exact"/>
              <w:jc w:val="center"/>
              <w:rPr>
                <w:rFonts w:ascii="宋体"/>
                <w:b/>
                <w:bCs/>
              </w:rPr>
            </w:pPr>
            <w:r>
              <w:rPr>
                <w:rFonts w:hint="eastAsia" w:ascii="宋体" w:hAnsi="宋体"/>
                <w:b/>
                <w:bCs/>
              </w:rPr>
              <w:t>作</w:t>
            </w:r>
          </w:p>
          <w:p>
            <w:pPr>
              <w:spacing w:line="280" w:lineRule="exact"/>
              <w:jc w:val="center"/>
              <w:rPr>
                <w:rFonts w:ascii="宋体"/>
                <w:b/>
                <w:bCs/>
              </w:rPr>
            </w:pPr>
            <w:r>
              <w:rPr>
                <w:rFonts w:hint="eastAsia" w:ascii="宋体" w:hAnsi="宋体"/>
                <w:b/>
                <w:bCs/>
              </w:rPr>
              <w:t>人</w:t>
            </w:r>
          </w:p>
          <w:p>
            <w:pPr>
              <w:spacing w:line="280" w:lineRule="exact"/>
              <w:jc w:val="center"/>
              <w:rPr>
                <w:rFonts w:ascii="宋体"/>
                <w:b/>
                <w:bCs/>
              </w:rPr>
            </w:pPr>
            <w:r>
              <w:rPr>
                <w:rFonts w:hint="eastAsia" w:ascii="宋体" w:hAnsi="宋体"/>
                <w:b/>
                <w:bCs/>
              </w:rPr>
              <w:t>员</w:t>
            </w:r>
          </w:p>
          <w:p>
            <w:pPr>
              <w:spacing w:line="280" w:lineRule="exact"/>
              <w:jc w:val="center"/>
              <w:rPr>
                <w:rFonts w:ascii="宋体"/>
                <w:b/>
                <w:bCs/>
              </w:rPr>
            </w:pPr>
            <w:r>
              <w:rPr>
                <w:rFonts w:hint="eastAsia" w:ascii="宋体" w:hAnsi="宋体"/>
                <w:b/>
                <w:bCs/>
              </w:rPr>
              <w:t>健</w:t>
            </w:r>
          </w:p>
          <w:p>
            <w:pPr>
              <w:spacing w:line="280" w:lineRule="exact"/>
              <w:jc w:val="center"/>
              <w:rPr>
                <w:rFonts w:ascii="宋体"/>
                <w:b/>
                <w:bCs/>
              </w:rPr>
            </w:pPr>
            <w:r>
              <w:rPr>
                <w:rFonts w:hint="eastAsia" w:ascii="宋体" w:hAnsi="宋体"/>
                <w:b/>
                <w:bCs/>
              </w:rPr>
              <w:t>康</w:t>
            </w:r>
          </w:p>
          <w:p>
            <w:pPr>
              <w:spacing w:line="280" w:lineRule="exact"/>
              <w:jc w:val="center"/>
              <w:rPr>
                <w:rFonts w:ascii="宋体"/>
                <w:b/>
                <w:bCs/>
              </w:rPr>
            </w:pPr>
            <w:r>
              <w:rPr>
                <w:rFonts w:hint="eastAsia" w:ascii="宋体" w:hAnsi="宋体"/>
                <w:b/>
                <w:bCs/>
              </w:rPr>
              <w:t>检</w:t>
            </w:r>
          </w:p>
          <w:p>
            <w:pPr>
              <w:spacing w:line="280" w:lineRule="exact"/>
              <w:jc w:val="center"/>
              <w:rPr>
                <w:rFonts w:ascii="宋体"/>
                <w:b/>
                <w:bCs/>
              </w:rPr>
            </w:pPr>
            <w:r>
              <w:rPr>
                <w:rFonts w:hint="eastAsia" w:ascii="宋体" w:hAnsi="宋体"/>
                <w:b/>
                <w:bCs/>
              </w:rPr>
              <w:t>查</w:t>
            </w:r>
          </w:p>
        </w:tc>
        <w:tc>
          <w:tcPr>
            <w:tcW w:w="772" w:type="dxa"/>
            <w:vAlign w:val="center"/>
          </w:tcPr>
          <w:p>
            <w:pPr>
              <w:spacing w:line="360" w:lineRule="exact"/>
              <w:rPr>
                <w:rFonts w:ascii="宋体"/>
              </w:rPr>
            </w:pPr>
            <w:r>
              <w:rPr>
                <w:rFonts w:ascii="宋体" w:hAnsi="宋体"/>
              </w:rPr>
              <w:t>10</w:t>
            </w:r>
            <w:r>
              <w:rPr>
                <w:rFonts w:hint="eastAsia" w:ascii="宋体" w:hAnsi="宋体"/>
              </w:rPr>
              <w:t>分</w:t>
            </w:r>
          </w:p>
        </w:tc>
        <w:tc>
          <w:tcPr>
            <w:tcW w:w="6077" w:type="dxa"/>
            <w:vAlign w:val="center"/>
          </w:tcPr>
          <w:p>
            <w:pPr>
              <w:widowControl/>
              <w:numPr>
                <w:ilvl w:val="0"/>
                <w:numId w:val="1"/>
              </w:numPr>
              <w:spacing w:line="360" w:lineRule="exact"/>
              <w:ind w:right="-36" w:rightChars="-17"/>
              <w:jc w:val="left"/>
              <w:rPr>
                <w:rFonts w:ascii="宋体"/>
                <w:bCs/>
              </w:rPr>
            </w:pPr>
            <w:r>
              <w:rPr>
                <w:rFonts w:hint="eastAsia" w:ascii="宋体" w:hAnsi="宋体"/>
                <w:bCs/>
              </w:rPr>
              <w:t>托幼机构工作人员上岗前经县级以上卫生行政部门指定的医疗卫生机构进行健康检查，并取得《托幼机构工作人员健康合格证》。炊事人员取得《食品从业人员健康证》（</w:t>
            </w:r>
            <w:r>
              <w:rPr>
                <w:rFonts w:ascii="宋体" w:hAnsi="宋体"/>
                <w:bCs/>
              </w:rPr>
              <w:t>10</w:t>
            </w:r>
            <w:r>
              <w:rPr>
                <w:rFonts w:hint="eastAsia" w:ascii="宋体" w:hAnsi="宋体"/>
                <w:bCs/>
              </w:rPr>
              <w:t>分）</w:t>
            </w:r>
          </w:p>
        </w:tc>
        <w:tc>
          <w:tcPr>
            <w:tcW w:w="1148" w:type="dxa"/>
            <w:vAlign w:val="center"/>
          </w:tcPr>
          <w:p>
            <w:pPr>
              <w:spacing w:line="360" w:lineRule="exact"/>
              <w:rPr>
                <w:rFonts w:ascii="宋体"/>
              </w:rPr>
            </w:pPr>
            <w:r>
              <w:rPr>
                <w:rFonts w:hint="eastAsia" w:ascii="宋体" w:hAnsi="宋体"/>
              </w:rPr>
              <w:t>查看证件</w:t>
            </w:r>
          </w:p>
        </w:tc>
        <w:tc>
          <w:tcPr>
            <w:tcW w:w="678" w:type="dxa"/>
          </w:tcPr>
          <w:p>
            <w:pPr>
              <w:spacing w:line="360" w:lineRule="exact"/>
              <w:rPr>
                <w:rFonts w:ascii="宋体"/>
              </w:rPr>
            </w:pPr>
          </w:p>
        </w:tc>
        <w:tc>
          <w:tcPr>
            <w:tcW w:w="663" w:type="dxa"/>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236" w:hRule="atLeast"/>
          <w:jc w:val="center"/>
        </w:trPr>
        <w:tc>
          <w:tcPr>
            <w:tcW w:w="867" w:type="dxa"/>
            <w:vAlign w:val="center"/>
          </w:tcPr>
          <w:p>
            <w:pPr>
              <w:spacing w:line="360" w:lineRule="exact"/>
              <w:jc w:val="center"/>
              <w:rPr>
                <w:rFonts w:ascii="宋体"/>
                <w:b/>
                <w:bCs/>
              </w:rPr>
            </w:pPr>
            <w:r>
              <w:rPr>
                <w:rFonts w:hint="eastAsia" w:ascii="宋体" w:hAnsi="宋体"/>
                <w:b/>
                <w:bCs/>
              </w:rPr>
              <w:t>卫</w:t>
            </w:r>
          </w:p>
          <w:p>
            <w:pPr>
              <w:spacing w:line="360" w:lineRule="exact"/>
              <w:jc w:val="center"/>
              <w:rPr>
                <w:rFonts w:ascii="宋体"/>
                <w:b/>
                <w:bCs/>
              </w:rPr>
            </w:pPr>
            <w:r>
              <w:rPr>
                <w:rFonts w:hint="eastAsia" w:ascii="宋体" w:hAnsi="宋体"/>
                <w:b/>
                <w:bCs/>
              </w:rPr>
              <w:t>生</w:t>
            </w:r>
          </w:p>
          <w:p>
            <w:pPr>
              <w:spacing w:line="360" w:lineRule="exact"/>
              <w:jc w:val="center"/>
              <w:rPr>
                <w:rFonts w:ascii="宋体"/>
                <w:b/>
                <w:bCs/>
              </w:rPr>
            </w:pPr>
            <w:r>
              <w:rPr>
                <w:rFonts w:hint="eastAsia" w:ascii="宋体" w:hAnsi="宋体"/>
                <w:b/>
                <w:bCs/>
              </w:rPr>
              <w:t>保</w:t>
            </w:r>
          </w:p>
          <w:p>
            <w:pPr>
              <w:spacing w:line="360" w:lineRule="exact"/>
              <w:jc w:val="center"/>
              <w:rPr>
                <w:rFonts w:ascii="宋体"/>
                <w:b/>
                <w:bCs/>
              </w:rPr>
            </w:pPr>
            <w:r>
              <w:rPr>
                <w:rFonts w:hint="eastAsia" w:ascii="宋体" w:hAnsi="宋体"/>
                <w:b/>
                <w:bCs/>
              </w:rPr>
              <w:t>健</w:t>
            </w:r>
          </w:p>
          <w:p>
            <w:pPr>
              <w:spacing w:line="360" w:lineRule="exact"/>
              <w:jc w:val="center"/>
              <w:rPr>
                <w:rFonts w:ascii="宋体"/>
                <w:b/>
                <w:bCs/>
              </w:rPr>
            </w:pPr>
            <w:r>
              <w:rPr>
                <w:rFonts w:hint="eastAsia" w:ascii="宋体" w:hAnsi="宋体"/>
                <w:b/>
                <w:bCs/>
              </w:rPr>
              <w:t>制</w:t>
            </w:r>
          </w:p>
          <w:p>
            <w:pPr>
              <w:spacing w:line="360" w:lineRule="exact"/>
              <w:jc w:val="center"/>
              <w:rPr>
                <w:rFonts w:ascii="宋体"/>
                <w:b/>
              </w:rPr>
            </w:pPr>
            <w:r>
              <w:rPr>
                <w:rFonts w:hint="eastAsia" w:ascii="宋体" w:hAnsi="宋体"/>
                <w:b/>
                <w:bCs/>
              </w:rPr>
              <w:t>度</w:t>
            </w:r>
          </w:p>
          <w:p>
            <w:pPr>
              <w:spacing w:line="360" w:lineRule="exact"/>
              <w:jc w:val="center"/>
              <w:rPr>
                <w:rFonts w:ascii="宋体"/>
                <w:b/>
              </w:rPr>
            </w:pPr>
          </w:p>
        </w:tc>
        <w:tc>
          <w:tcPr>
            <w:tcW w:w="772" w:type="dxa"/>
            <w:vAlign w:val="center"/>
          </w:tcPr>
          <w:p>
            <w:pPr>
              <w:spacing w:line="360" w:lineRule="exact"/>
              <w:rPr>
                <w:rFonts w:ascii="宋体"/>
              </w:rPr>
            </w:pPr>
            <w:r>
              <w:rPr>
                <w:rFonts w:ascii="宋体" w:hAnsi="宋体"/>
              </w:rPr>
              <w:t>10</w:t>
            </w:r>
            <w:r>
              <w:rPr>
                <w:rFonts w:hint="eastAsia" w:ascii="宋体" w:hAnsi="宋体"/>
              </w:rPr>
              <w:t>分</w:t>
            </w:r>
          </w:p>
        </w:tc>
        <w:tc>
          <w:tcPr>
            <w:tcW w:w="6077" w:type="dxa"/>
            <w:vAlign w:val="center"/>
          </w:tcPr>
          <w:p>
            <w:pPr>
              <w:widowControl/>
              <w:numPr>
                <w:ilvl w:val="0"/>
                <w:numId w:val="1"/>
              </w:numPr>
              <w:spacing w:line="280" w:lineRule="exact"/>
              <w:ind w:right="-214" w:rightChars="-102"/>
              <w:jc w:val="left"/>
              <w:rPr>
                <w:rFonts w:ascii="宋体"/>
                <w:bCs/>
              </w:rPr>
            </w:pPr>
            <w:r>
              <w:rPr>
                <w:rFonts w:hint="eastAsia" w:ascii="宋体" w:hAnsi="宋体"/>
                <w:bCs/>
              </w:rPr>
              <w:t>建立</w:t>
            </w:r>
            <w:r>
              <w:rPr>
                <w:rFonts w:ascii="宋体" w:hAnsi="宋体"/>
                <w:bCs/>
              </w:rPr>
              <w:t>10</w:t>
            </w:r>
            <w:r>
              <w:rPr>
                <w:rFonts w:hint="eastAsia" w:ascii="宋体" w:hAnsi="宋体"/>
                <w:bCs/>
              </w:rPr>
              <w:t>项卫生保健制度，并符合实际情况，具有可操作性</w:t>
            </w:r>
          </w:p>
          <w:p>
            <w:pPr>
              <w:widowControl/>
              <w:numPr>
                <w:ilvl w:val="0"/>
                <w:numId w:val="2"/>
              </w:numPr>
              <w:spacing w:line="280" w:lineRule="exact"/>
              <w:jc w:val="left"/>
              <w:rPr>
                <w:rFonts w:ascii="宋体"/>
                <w:bCs/>
              </w:rPr>
            </w:pPr>
            <w:r>
              <w:rPr>
                <w:rFonts w:hint="eastAsia" w:ascii="宋体" w:hAnsi="宋体"/>
                <w:bCs/>
              </w:rPr>
              <w:t>一日生活制度（</w:t>
            </w:r>
            <w:r>
              <w:rPr>
                <w:rFonts w:ascii="宋体" w:hAnsi="宋体"/>
                <w:bCs/>
              </w:rPr>
              <w:t>1</w:t>
            </w:r>
            <w:r>
              <w:rPr>
                <w:rFonts w:hint="eastAsia" w:ascii="宋体" w:hAnsi="宋体"/>
                <w:bCs/>
              </w:rPr>
              <w:t>分）</w:t>
            </w:r>
          </w:p>
          <w:p>
            <w:pPr>
              <w:widowControl/>
              <w:numPr>
                <w:ilvl w:val="0"/>
                <w:numId w:val="2"/>
              </w:numPr>
              <w:spacing w:line="280" w:lineRule="exact"/>
              <w:jc w:val="left"/>
              <w:rPr>
                <w:rFonts w:ascii="宋体"/>
                <w:bCs/>
              </w:rPr>
            </w:pPr>
            <w:r>
              <w:rPr>
                <w:rFonts w:hint="eastAsia" w:ascii="宋体" w:hAnsi="宋体"/>
                <w:bCs/>
              </w:rPr>
              <w:t>膳食管理制度（</w:t>
            </w:r>
            <w:r>
              <w:rPr>
                <w:rFonts w:ascii="宋体" w:hAnsi="宋体"/>
                <w:bCs/>
              </w:rPr>
              <w:t>1</w:t>
            </w:r>
            <w:r>
              <w:rPr>
                <w:rFonts w:hint="eastAsia" w:ascii="宋体" w:hAnsi="宋体"/>
                <w:bCs/>
              </w:rPr>
              <w:t>分）</w:t>
            </w:r>
          </w:p>
          <w:p>
            <w:pPr>
              <w:widowControl/>
              <w:numPr>
                <w:ilvl w:val="0"/>
                <w:numId w:val="2"/>
              </w:numPr>
              <w:spacing w:line="280" w:lineRule="exact"/>
              <w:jc w:val="left"/>
              <w:rPr>
                <w:rFonts w:ascii="宋体"/>
                <w:bCs/>
              </w:rPr>
            </w:pPr>
            <w:r>
              <w:rPr>
                <w:rFonts w:hint="eastAsia" w:ascii="宋体" w:hAnsi="宋体"/>
                <w:bCs/>
              </w:rPr>
              <w:t>体格锻炼制度（</w:t>
            </w:r>
            <w:r>
              <w:rPr>
                <w:rFonts w:ascii="宋体" w:hAnsi="宋体"/>
                <w:bCs/>
              </w:rPr>
              <w:t>1</w:t>
            </w:r>
            <w:r>
              <w:rPr>
                <w:rFonts w:hint="eastAsia" w:ascii="宋体" w:hAnsi="宋体"/>
                <w:bCs/>
              </w:rPr>
              <w:t>分）</w:t>
            </w:r>
          </w:p>
          <w:p>
            <w:pPr>
              <w:widowControl/>
              <w:numPr>
                <w:ilvl w:val="0"/>
                <w:numId w:val="2"/>
              </w:numPr>
              <w:spacing w:line="280" w:lineRule="exact"/>
              <w:jc w:val="left"/>
              <w:rPr>
                <w:rFonts w:ascii="宋体"/>
                <w:bCs/>
              </w:rPr>
            </w:pPr>
            <w:r>
              <w:rPr>
                <w:rFonts w:hint="eastAsia" w:ascii="宋体" w:hAnsi="宋体"/>
                <w:bCs/>
              </w:rPr>
              <w:t>卫生与消毒制度（</w:t>
            </w:r>
            <w:r>
              <w:rPr>
                <w:rFonts w:ascii="宋体" w:hAnsi="宋体"/>
                <w:bCs/>
              </w:rPr>
              <w:t>1</w:t>
            </w:r>
            <w:r>
              <w:rPr>
                <w:rFonts w:hint="eastAsia" w:ascii="宋体" w:hAnsi="宋体"/>
                <w:bCs/>
              </w:rPr>
              <w:t>分）</w:t>
            </w:r>
          </w:p>
          <w:p>
            <w:pPr>
              <w:widowControl/>
              <w:numPr>
                <w:ilvl w:val="0"/>
                <w:numId w:val="2"/>
              </w:numPr>
              <w:spacing w:line="280" w:lineRule="exact"/>
              <w:jc w:val="left"/>
              <w:rPr>
                <w:rFonts w:ascii="宋体"/>
                <w:bCs/>
              </w:rPr>
            </w:pPr>
            <w:r>
              <w:rPr>
                <w:rFonts w:hint="eastAsia" w:ascii="宋体" w:hAnsi="宋体"/>
                <w:bCs/>
              </w:rPr>
              <w:t>入园（所）及定期健康检查制度（</w:t>
            </w:r>
            <w:r>
              <w:rPr>
                <w:rFonts w:ascii="宋体" w:hAnsi="宋体"/>
                <w:bCs/>
              </w:rPr>
              <w:t>1</w:t>
            </w:r>
            <w:r>
              <w:rPr>
                <w:rFonts w:hint="eastAsia" w:ascii="宋体" w:hAnsi="宋体"/>
                <w:bCs/>
              </w:rPr>
              <w:t>分）</w:t>
            </w:r>
          </w:p>
          <w:p>
            <w:pPr>
              <w:widowControl/>
              <w:numPr>
                <w:ilvl w:val="0"/>
                <w:numId w:val="2"/>
              </w:numPr>
              <w:spacing w:line="280" w:lineRule="exact"/>
              <w:jc w:val="left"/>
              <w:rPr>
                <w:rFonts w:ascii="宋体"/>
                <w:bCs/>
              </w:rPr>
            </w:pPr>
            <w:r>
              <w:rPr>
                <w:rFonts w:hint="eastAsia" w:ascii="宋体" w:hAnsi="宋体"/>
                <w:bCs/>
              </w:rPr>
              <w:t>传染病预防与控制制度（</w:t>
            </w:r>
            <w:r>
              <w:rPr>
                <w:rFonts w:ascii="宋体" w:hAnsi="宋体"/>
                <w:bCs/>
              </w:rPr>
              <w:t>1</w:t>
            </w:r>
            <w:r>
              <w:rPr>
                <w:rFonts w:hint="eastAsia" w:ascii="宋体" w:hAnsi="宋体"/>
                <w:bCs/>
              </w:rPr>
              <w:t>分）</w:t>
            </w:r>
          </w:p>
          <w:p>
            <w:pPr>
              <w:widowControl/>
              <w:numPr>
                <w:ilvl w:val="0"/>
                <w:numId w:val="2"/>
              </w:numPr>
              <w:spacing w:line="280" w:lineRule="exact"/>
              <w:jc w:val="left"/>
              <w:rPr>
                <w:rFonts w:ascii="宋体"/>
                <w:bCs/>
              </w:rPr>
            </w:pPr>
            <w:r>
              <w:rPr>
                <w:rFonts w:hint="eastAsia" w:ascii="宋体" w:hAnsi="宋体"/>
                <w:bCs/>
              </w:rPr>
              <w:t>常见疾病预防与管理制度（</w:t>
            </w:r>
            <w:r>
              <w:rPr>
                <w:rFonts w:ascii="宋体" w:hAnsi="宋体"/>
                <w:bCs/>
              </w:rPr>
              <w:t>1</w:t>
            </w:r>
            <w:r>
              <w:rPr>
                <w:rFonts w:hint="eastAsia" w:ascii="宋体" w:hAnsi="宋体"/>
                <w:bCs/>
              </w:rPr>
              <w:t>分）</w:t>
            </w:r>
          </w:p>
          <w:p>
            <w:pPr>
              <w:widowControl/>
              <w:numPr>
                <w:ilvl w:val="0"/>
                <w:numId w:val="2"/>
              </w:numPr>
              <w:spacing w:line="280" w:lineRule="exact"/>
              <w:jc w:val="left"/>
              <w:rPr>
                <w:rFonts w:ascii="宋体"/>
                <w:bCs/>
              </w:rPr>
            </w:pPr>
            <w:r>
              <w:rPr>
                <w:rFonts w:hint="eastAsia" w:ascii="宋体" w:hAnsi="宋体"/>
                <w:bCs/>
              </w:rPr>
              <w:t>伤害预防制度（</w:t>
            </w:r>
            <w:r>
              <w:rPr>
                <w:rFonts w:ascii="宋体" w:hAnsi="宋体"/>
                <w:bCs/>
              </w:rPr>
              <w:t>1</w:t>
            </w:r>
            <w:r>
              <w:rPr>
                <w:rFonts w:hint="eastAsia" w:ascii="宋体" w:hAnsi="宋体"/>
                <w:bCs/>
              </w:rPr>
              <w:t>分）</w:t>
            </w:r>
          </w:p>
          <w:p>
            <w:pPr>
              <w:widowControl/>
              <w:numPr>
                <w:ilvl w:val="0"/>
                <w:numId w:val="2"/>
              </w:numPr>
              <w:spacing w:line="280" w:lineRule="exact"/>
              <w:jc w:val="left"/>
              <w:rPr>
                <w:rFonts w:ascii="宋体"/>
                <w:bCs/>
              </w:rPr>
            </w:pPr>
            <w:r>
              <w:rPr>
                <w:rFonts w:hint="eastAsia" w:ascii="宋体" w:hAnsi="宋体"/>
                <w:bCs/>
              </w:rPr>
              <w:t>健康教育制度（</w:t>
            </w:r>
            <w:r>
              <w:rPr>
                <w:rFonts w:ascii="宋体" w:hAnsi="宋体"/>
                <w:bCs/>
              </w:rPr>
              <w:t>1</w:t>
            </w:r>
            <w:r>
              <w:rPr>
                <w:rFonts w:hint="eastAsia" w:ascii="宋体" w:hAnsi="宋体"/>
                <w:bCs/>
              </w:rPr>
              <w:t>分）</w:t>
            </w:r>
          </w:p>
          <w:p>
            <w:pPr>
              <w:widowControl/>
              <w:numPr>
                <w:ilvl w:val="0"/>
                <w:numId w:val="2"/>
              </w:numPr>
              <w:spacing w:line="280" w:lineRule="exact"/>
              <w:jc w:val="left"/>
              <w:rPr>
                <w:rFonts w:ascii="宋体"/>
                <w:bCs/>
              </w:rPr>
            </w:pPr>
            <w:r>
              <w:rPr>
                <w:rFonts w:hint="eastAsia" w:ascii="宋体" w:hAnsi="宋体"/>
                <w:bCs/>
              </w:rPr>
              <w:t>卫生保健信息收集制度（</w:t>
            </w:r>
            <w:r>
              <w:rPr>
                <w:rFonts w:ascii="宋体" w:hAnsi="宋体"/>
                <w:bCs/>
              </w:rPr>
              <w:t>1</w:t>
            </w:r>
            <w:r>
              <w:rPr>
                <w:rFonts w:hint="eastAsia" w:ascii="宋体" w:hAnsi="宋体"/>
                <w:bCs/>
              </w:rPr>
              <w:t>分）</w:t>
            </w:r>
          </w:p>
        </w:tc>
        <w:tc>
          <w:tcPr>
            <w:tcW w:w="1148" w:type="dxa"/>
            <w:vAlign w:val="center"/>
          </w:tcPr>
          <w:p>
            <w:pPr>
              <w:spacing w:line="360" w:lineRule="exact"/>
              <w:rPr>
                <w:rFonts w:ascii="宋体"/>
              </w:rPr>
            </w:pPr>
            <w:r>
              <w:rPr>
                <w:rFonts w:hint="eastAsia" w:ascii="宋体" w:hAnsi="宋体"/>
              </w:rPr>
              <w:t>查看资料</w:t>
            </w:r>
          </w:p>
        </w:tc>
        <w:tc>
          <w:tcPr>
            <w:tcW w:w="678" w:type="dxa"/>
          </w:tcPr>
          <w:p>
            <w:pPr>
              <w:spacing w:line="360" w:lineRule="exact"/>
              <w:rPr>
                <w:rFonts w:ascii="宋体"/>
              </w:rPr>
            </w:pPr>
          </w:p>
        </w:tc>
        <w:tc>
          <w:tcPr>
            <w:tcW w:w="663" w:type="dxa"/>
            <w:vAlign w:val="center"/>
          </w:tcPr>
          <w:p>
            <w:pPr>
              <w:spacing w:line="360" w:lineRule="exact"/>
              <w:rPr>
                <w:rFonts w:ascii="宋体"/>
              </w:rPr>
            </w:pPr>
          </w:p>
        </w:tc>
      </w:tr>
    </w:tbl>
    <w:p>
      <w:pPr>
        <w:spacing w:line="360" w:lineRule="auto"/>
        <w:rPr>
          <w:rFonts w:ascii="仿宋_GB2312" w:hAnsi="宋体" w:eastAsia="仿宋_GB2312"/>
          <w:bCs/>
          <w:sz w:val="32"/>
          <w:szCs w:val="32"/>
        </w:rPr>
        <w:sectPr>
          <w:pgSz w:w="11906" w:h="16838"/>
          <w:pgMar w:top="1701" w:right="1474" w:bottom="1588" w:left="1474" w:header="851" w:footer="1134" w:gutter="0"/>
          <w:pgNumType w:fmt="numberInDash"/>
          <w:cols w:space="720" w:num="1"/>
          <w:docGrid w:type="lines" w:linePitch="312" w:charSpace="0"/>
        </w:sectPr>
      </w:pPr>
    </w:p>
    <w:p>
      <w:pPr>
        <w:spacing w:line="360" w:lineRule="auto"/>
        <w:rPr>
          <w:rFonts w:ascii="仿宋_GB2312" w:hAnsi="宋体" w:eastAsia="仿宋_GB2312"/>
          <w:bCs/>
          <w:sz w:val="32"/>
          <w:szCs w:val="32"/>
        </w:rPr>
      </w:pPr>
      <w:r>
        <w:rPr>
          <w:rFonts w:hint="eastAsia" w:ascii="仿宋_GB2312" w:hAnsi="宋体" w:eastAsia="仿宋_GB2312"/>
          <w:bCs/>
          <w:sz w:val="32"/>
          <w:szCs w:val="32"/>
        </w:rPr>
        <w:t>备注：</w:t>
      </w:r>
    </w:p>
    <w:p>
      <w:pPr>
        <w:spacing w:line="360" w:lineRule="auto"/>
        <w:ind w:firstLine="640" w:firstLineChars="200"/>
        <w:rPr>
          <w:rFonts w:ascii="仿宋_GB2312" w:hAnsi="宋体" w:eastAsia="仿宋_GB2312"/>
          <w:bCs/>
          <w:sz w:val="32"/>
          <w:szCs w:val="32"/>
        </w:rPr>
      </w:pPr>
      <w:r>
        <w:rPr>
          <w:rFonts w:ascii="仿宋_GB2312" w:hAnsi="宋体" w:eastAsia="仿宋_GB2312"/>
          <w:bCs/>
          <w:sz w:val="32"/>
          <w:szCs w:val="32"/>
        </w:rPr>
        <w:t>1.</w:t>
      </w:r>
      <w:r>
        <w:rPr>
          <w:rFonts w:hint="eastAsia" w:ascii="仿宋_GB2312" w:hAnsi="宋体" w:eastAsia="仿宋_GB2312"/>
          <w:bCs/>
          <w:sz w:val="32"/>
          <w:szCs w:val="32"/>
        </w:rPr>
        <w:t>托幼机构总分达到</w:t>
      </w:r>
      <w:r>
        <w:rPr>
          <w:rFonts w:ascii="仿宋_GB2312" w:hAnsi="宋体" w:eastAsia="仿宋_GB2312"/>
          <w:bCs/>
          <w:sz w:val="32"/>
          <w:szCs w:val="32"/>
        </w:rPr>
        <w:t>80</w:t>
      </w:r>
      <w:r>
        <w:rPr>
          <w:rFonts w:hint="eastAsia" w:ascii="仿宋_GB2312" w:hAnsi="宋体" w:eastAsia="仿宋_GB2312"/>
          <w:bCs/>
          <w:sz w:val="32"/>
          <w:szCs w:val="32"/>
        </w:rPr>
        <w:t>分以上，并且“</w:t>
      </w:r>
      <w:r>
        <w:rPr>
          <w:rFonts w:hint="eastAsia" w:ascii="仿宋_GB2312" w:hAnsi="宋体" w:eastAsia="仿宋_GB2312"/>
          <w:sz w:val="32"/>
          <w:szCs w:val="32"/>
        </w:rPr>
        <w:t>必达项目</w:t>
      </w:r>
      <w:r>
        <w:rPr>
          <w:rFonts w:hint="eastAsia" w:ascii="仿宋_GB2312" w:hAnsi="宋体" w:eastAsia="仿宋_GB2312"/>
          <w:bCs/>
          <w:sz w:val="32"/>
          <w:szCs w:val="32"/>
        </w:rPr>
        <w:t>”</w:t>
      </w:r>
      <w:r>
        <w:rPr>
          <w:rFonts w:hint="eastAsia" w:ascii="仿宋_GB2312" w:hAnsi="宋体" w:eastAsia="仿宋_GB2312"/>
          <w:sz w:val="32"/>
          <w:szCs w:val="32"/>
        </w:rPr>
        <w:t>全部通过，才可评价为“合格”。</w:t>
      </w:r>
    </w:p>
    <w:p>
      <w:pPr>
        <w:spacing w:line="360" w:lineRule="auto"/>
        <w:ind w:firstLine="640" w:firstLineChars="200"/>
        <w:rPr>
          <w:rFonts w:ascii="仿宋_GB2312" w:hAnsi="宋体" w:eastAsia="仿宋_GB2312"/>
          <w:bCs/>
          <w:sz w:val="32"/>
          <w:szCs w:val="32"/>
        </w:rPr>
      </w:pPr>
      <w:r>
        <w:rPr>
          <w:rFonts w:ascii="仿宋_GB2312" w:hAnsi="宋体" w:eastAsia="仿宋_GB2312"/>
          <w:bCs/>
          <w:sz w:val="32"/>
          <w:szCs w:val="32"/>
        </w:rPr>
        <w:t>2.</w:t>
      </w:r>
      <w:r>
        <w:rPr>
          <w:rFonts w:hint="eastAsia" w:ascii="仿宋_GB2312" w:hAnsi="宋体" w:eastAsia="仿宋_GB2312"/>
          <w:bCs/>
          <w:sz w:val="32"/>
          <w:szCs w:val="32"/>
        </w:rPr>
        <w:t>若托幼机构不提供儿童膳食，则不予评价食堂卫生、工作人员健康检查和卫生保健制度的相应部分。托幼机构分数达到剩余项目总分的</w:t>
      </w:r>
      <w:r>
        <w:rPr>
          <w:rFonts w:ascii="仿宋_GB2312" w:hAnsi="宋体" w:eastAsia="仿宋_GB2312"/>
          <w:bCs/>
          <w:sz w:val="32"/>
          <w:szCs w:val="32"/>
        </w:rPr>
        <w:t>80%</w:t>
      </w:r>
      <w:r>
        <w:rPr>
          <w:rFonts w:hint="eastAsia" w:ascii="仿宋_GB2312" w:hAnsi="宋体" w:eastAsia="仿宋_GB2312"/>
          <w:bCs/>
          <w:sz w:val="32"/>
          <w:szCs w:val="32"/>
        </w:rPr>
        <w:t>以上，并且“必达项目”全部通过，才可评价为“合格”。</w:t>
      </w:r>
    </w:p>
    <w:p>
      <w:pPr>
        <w:spacing w:line="360" w:lineRule="auto"/>
        <w:ind w:firstLine="640" w:firstLineChars="200"/>
        <w:rPr>
          <w:rFonts w:ascii="仿宋_GB2312" w:hAnsi="宋体" w:eastAsia="仿宋_GB2312"/>
          <w:bCs/>
          <w:sz w:val="32"/>
          <w:szCs w:val="32"/>
        </w:rPr>
      </w:pPr>
      <w:r>
        <w:rPr>
          <w:rFonts w:ascii="仿宋_GB2312" w:hAnsi="宋体" w:eastAsia="仿宋_GB2312"/>
          <w:bCs/>
          <w:sz w:val="32"/>
          <w:szCs w:val="32"/>
        </w:rPr>
        <w:t>3.</w:t>
      </w:r>
      <w:r>
        <w:rPr>
          <w:rFonts w:hint="eastAsia" w:ascii="仿宋_GB2312" w:hAnsi="宋体" w:eastAsia="仿宋_GB2312"/>
          <w:bCs/>
          <w:sz w:val="32"/>
          <w:szCs w:val="32"/>
        </w:rPr>
        <w:t>如果评价结果为“不合格”，</w:t>
      </w:r>
      <w:r>
        <w:rPr>
          <w:rFonts w:ascii="仿宋_GB2312" w:hAnsi="宋体" w:eastAsia="仿宋_GB2312"/>
          <w:bCs/>
          <w:sz w:val="32"/>
          <w:szCs w:val="32"/>
        </w:rPr>
        <w:t xml:space="preserve"> </w:t>
      </w:r>
      <w:r>
        <w:rPr>
          <w:rFonts w:hint="eastAsia" w:ascii="仿宋_GB2312" w:hAnsi="宋体" w:eastAsia="仿宋_GB2312"/>
          <w:bCs/>
          <w:sz w:val="32"/>
          <w:szCs w:val="32"/>
        </w:rPr>
        <w:t>托幼机构应当根据评价报告给予的整改意见和指导，整改后可重新申请卫生评价。</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E47B9"/>
    <w:multiLevelType w:val="multilevel"/>
    <w:tmpl w:val="550E47B9"/>
    <w:lvl w:ilvl="0" w:tentative="0">
      <w:start w:val="1"/>
      <w:numFmt w:val="decimal"/>
      <w:lvlText w:val="%1)"/>
      <w:lvlJc w:val="left"/>
      <w:pPr>
        <w:ind w:left="76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67463481"/>
    <w:multiLevelType w:val="multilevel"/>
    <w:tmpl w:val="67463481"/>
    <w:lvl w:ilvl="0" w:tentative="0">
      <w:start w:val="1"/>
      <w:numFmt w:val="bullet"/>
      <w:lvlText w:val=""/>
      <w:lvlJc w:val="left"/>
      <w:pPr>
        <w:tabs>
          <w:tab w:val="left" w:pos="340"/>
        </w:tabs>
        <w:ind w:left="340" w:hanging="34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C6605"/>
    <w:rsid w:val="537C660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widowControl/>
      <w:spacing w:before="240" w:after="60"/>
      <w:jc w:val="left"/>
      <w:outlineLvl w:val="1"/>
    </w:pPr>
    <w:rPr>
      <w:rFonts w:ascii="Cambria" w:hAnsi="Cambria" w:cs="宋体"/>
      <w:b/>
      <w:bCs/>
      <w:i/>
      <w:iCs/>
      <w:kern w:val="0"/>
      <w:sz w:val="28"/>
      <w:szCs w:val="28"/>
      <w:lang w:eastAsia="en-US"/>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2018-10-10T06:36:00Z</dcterms:created>
  <dc:creator>Rubick</dc:creator>
  <cp:lastModifiedBy>Rubick</cp:lastModifiedBy>
  <dcterms:modified xsi:type="dcterms:W3CDTF">2018-10-10T06:36:39Z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