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EA55A">
      <w:pPr>
        <w:widowControl w:val="0"/>
        <w:spacing w:line="240" w:lineRule="auto"/>
        <w:jc w:val="center"/>
        <w:rPr>
          <w:rFonts w:hint="eastAsia" w:ascii="方正公文小标宋" w:hAnsi="方正公文小标宋" w:eastAsia="方正公文小标宋" w:cs="方正公文小标宋"/>
          <w:b w:val="0"/>
          <w:i w:val="0"/>
          <w:strike w:val="0"/>
          <w:color w:val="auto"/>
          <w:kern w:val="2"/>
          <w:sz w:val="36"/>
          <w:szCs w:val="24"/>
          <w:u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i w:val="0"/>
          <w:strike w:val="0"/>
          <w:color w:val="auto"/>
          <w:kern w:val="2"/>
          <w:sz w:val="36"/>
          <w:szCs w:val="24"/>
          <w:u w:val="none"/>
          <w:lang w:val="en-US" w:eastAsia="zh-CN" w:bidi="ar-SA"/>
        </w:rPr>
        <w:t>滕州市妇幼保健院</w:t>
      </w:r>
    </w:p>
    <w:p w14:paraId="5B5B7461">
      <w:pPr>
        <w:widowControl w:val="0"/>
        <w:spacing w:line="240" w:lineRule="auto"/>
        <w:jc w:val="center"/>
        <w:rPr>
          <w:rFonts w:hint="eastAsia" w:ascii="方正公文小标宋" w:hAnsi="方正公文小标宋" w:eastAsia="方正公文小标宋" w:cs="方正公文小标宋"/>
          <w:b w:val="0"/>
          <w:i w:val="0"/>
          <w:strike w:val="0"/>
          <w:color w:val="auto"/>
          <w:kern w:val="2"/>
          <w:sz w:val="36"/>
          <w:szCs w:val="24"/>
          <w:u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i w:val="0"/>
          <w:strike w:val="0"/>
          <w:color w:val="auto"/>
          <w:kern w:val="2"/>
          <w:sz w:val="36"/>
          <w:szCs w:val="24"/>
          <w:u w:val="none"/>
          <w:lang w:val="en-US" w:eastAsia="zh-CN" w:bidi="ar-SA"/>
        </w:rPr>
        <w:t>（滕州市儿童医院）</w:t>
      </w:r>
    </w:p>
    <w:p w14:paraId="7DF7C786">
      <w:pPr>
        <w:widowControl w:val="0"/>
        <w:spacing w:line="240" w:lineRule="auto"/>
        <w:jc w:val="center"/>
        <w:rPr>
          <w:rFonts w:hint="eastAsia" w:ascii="方正公文小标宋" w:hAnsi="方正公文小标宋" w:eastAsia="方正公文小标宋" w:cs="方正公文小标宋"/>
          <w:b w:val="0"/>
          <w:i w:val="0"/>
          <w:strike w:val="0"/>
          <w:color w:val="auto"/>
          <w:kern w:val="2"/>
          <w:sz w:val="36"/>
          <w:szCs w:val="24"/>
          <w:u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i w:val="0"/>
          <w:strike w:val="0"/>
          <w:color w:val="auto"/>
          <w:kern w:val="2"/>
          <w:sz w:val="36"/>
          <w:szCs w:val="24"/>
          <w:u w:val="none"/>
          <w:lang w:val="en-US" w:eastAsia="zh-CN" w:bidi="ar-SA"/>
        </w:rPr>
        <w:t>关于医疗意外险服务项目评审细则</w:t>
      </w:r>
    </w:p>
    <w:p w14:paraId="21FEE04C">
      <w:pPr>
        <w:pStyle w:val="2"/>
        <w:rPr>
          <w:rFonts w:hint="eastAsia"/>
          <w:lang w:val="en-US" w:eastAsia="zh-CN"/>
        </w:rPr>
      </w:pPr>
    </w:p>
    <w:p w14:paraId="442FDFE3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</w:rPr>
        <w:t>《中华人民共和国医师法》(国家主席令第九十四号)、《医疗纠纷预防和处理条例》(国务院令第701号)、《“十四五”公共服务规划》(发改社会〔2021]1946号)等法律法规和政策文件已明确，国家建立完善医疗风险分担机制，大力发展医疗责任险、医疗意外险等执业保险，鼓励患者参加医疗意外保险。《医疗质量管理办法》第五章第三十六条:医疗机构应当提高风险防范意识，建立完善相关制度，利于医疗责任保险、医疗意外保险等风险分担形式，保障医患双方合法权益。为完善医疗风险分担机制，保障患者权益，提升医疗服务满意度，建立防火墙，把医院、医务人员和医疗纠纷的处理搁置开，我院拟引入医疗意外保险(含手术意外险、诊疗意外险等)销售及理赔服务合作机构。相关事项如下:</w:t>
      </w:r>
      <w:bookmarkStart w:id="0" w:name="_GoBack"/>
      <w:bookmarkEnd w:id="0"/>
    </w:p>
    <w:p w14:paraId="648C07D1">
      <w:pPr>
        <w:pStyle w:val="3"/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一、项目基本情况</w:t>
      </w:r>
    </w:p>
    <w:p w14:paraId="5FD513EC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名称:滕州市妇幼保健院医疗意外险服务项目</w:t>
      </w:r>
    </w:p>
    <w:p w14:paraId="683A3584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方式:院内比选</w:t>
      </w:r>
    </w:p>
    <w:p w14:paraId="2AA4713A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合作期限:三年(每年进行考核，考核不合格则取消合作资质，合作终止)</w:t>
      </w:r>
    </w:p>
    <w:p w14:paraId="1924CF5A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服务内容:医疗意外保险产品设计、销售及宣传服务;投保流程优化;快速理赔服务;医疗纠纷的协调处理;完成医院交办的其他相关业务。</w:t>
      </w:r>
    </w:p>
    <w:p w14:paraId="5CC06729">
      <w:pPr>
        <w:pStyle w:val="3"/>
        <w:bidi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二、资格要求</w:t>
      </w:r>
    </w:p>
    <w:p w14:paraId="4B1E018D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1.具备国家金融监督管理总局颁发的保险经营资质;</w:t>
      </w:r>
    </w:p>
    <w:p w14:paraId="7B920FFF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2.拥有医疗相关保险服务经验，能提供定制化产品方案;</w:t>
      </w:r>
    </w:p>
    <w:p w14:paraId="505E9F33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3.具备完善的理赔服务团队及本地化服务能力。</w:t>
      </w:r>
    </w:p>
    <w:p w14:paraId="0FAC67ED">
      <w:pPr>
        <w:pStyle w:val="3"/>
        <w:bidi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三、资料要求</w:t>
      </w:r>
    </w:p>
    <w:p w14:paraId="4CC49D1E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1.公司营业执照、经营许可证复印件(加盖公章);</w:t>
      </w:r>
    </w:p>
    <w:p w14:paraId="4AB9395F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2.法人(分公司为负责人)的身份证明;</w:t>
      </w:r>
    </w:p>
    <w:p w14:paraId="2DB5883D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3.医疗意外保险产品方案;</w:t>
      </w:r>
    </w:p>
    <w:p w14:paraId="3A36A97C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4.理赔服务流程及响应时效说明;</w:t>
      </w:r>
    </w:p>
    <w:p w14:paraId="7F66C8C0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5.其他资料(服务方案等)。</w:t>
      </w:r>
    </w:p>
    <w:p w14:paraId="54583E08">
      <w:pPr>
        <w:pStyle w:val="3"/>
        <w:bidi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四、比选细则</w:t>
      </w:r>
    </w:p>
    <w:p w14:paraId="799893CA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我院将对提交申请材料的服务机构进行比选，综合考虑保险产品方案、服务团队情况、理赔服务流程及时限、项目业绩及医疗纠纷协助支持能力等因素进行综合评判，择优选择1家确定合作机构。</w:t>
      </w:r>
    </w:p>
    <w:tbl>
      <w:tblPr>
        <w:tblStyle w:val="7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62"/>
        <w:gridCol w:w="720"/>
        <w:gridCol w:w="6959"/>
      </w:tblGrid>
      <w:tr w14:paraId="2C211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7" w:hRule="atLeast"/>
          <w:tblHeader/>
          <w:jc w:val="center"/>
        </w:trPr>
        <w:tc>
          <w:tcPr>
            <w:tcW w:w="156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F35516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评分项目</w:t>
            </w:r>
          </w:p>
        </w:tc>
        <w:tc>
          <w:tcPr>
            <w:tcW w:w="72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6ACBE2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分值</w:t>
            </w:r>
          </w:p>
        </w:tc>
        <w:tc>
          <w:tcPr>
            <w:tcW w:w="695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57803F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评分细则</w:t>
            </w:r>
          </w:p>
        </w:tc>
      </w:tr>
      <w:tr w14:paraId="20C2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80" w:hRule="atLeast"/>
          <w:jc w:val="center"/>
        </w:trPr>
        <w:tc>
          <w:tcPr>
            <w:tcW w:w="156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84AFA6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报名资料响应情况</w:t>
            </w:r>
          </w:p>
        </w:tc>
        <w:tc>
          <w:tcPr>
            <w:tcW w:w="72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4ED64F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right"/>
            </w:pPr>
            <w:r>
              <w:t>10分</w:t>
            </w:r>
          </w:p>
        </w:tc>
        <w:tc>
          <w:tcPr>
            <w:tcW w:w="695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52590D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完全满足本通知“报名资料清单”所有要求，材料齐全、格式规范得10分；每缺少1项材料或1项材料不符合要求，扣2分，扣完为止。</w:t>
            </w:r>
          </w:p>
        </w:tc>
      </w:tr>
      <w:tr w14:paraId="6CE7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6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1B7704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风险管理方案</w:t>
            </w:r>
          </w:p>
        </w:tc>
        <w:tc>
          <w:tcPr>
            <w:tcW w:w="72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536AB1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right"/>
            </w:pPr>
            <w:r>
              <w:rPr>
                <w:rFonts w:hint="eastAsia"/>
                <w:lang w:val="en-US" w:eastAsia="zh-CN"/>
              </w:rPr>
              <w:t>3</w:t>
            </w:r>
            <w:r>
              <w:t>0分</w:t>
            </w:r>
          </w:p>
        </w:tc>
        <w:tc>
          <w:tcPr>
            <w:tcW w:w="695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873FBC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根据比选人针对本项目提供风险管理方案进行评审，比选人能充分认识到风险，并有完善的管理方案，能够最大程度保证患者及院方自身权益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方案至少包含①服务内容、目标理解；②组织实施方案；③工作标准与要求；④ 重难点分析及解决方案；⑤项目实施过程中突发事件处理机制与预案；⑥与相关部门的协调机制等内容。综合比较以上6 项内容描述清晰、完善合理、科学规范、可行，能充分保证服务质量和进度，每项得4-5 分；方案基本完善，能基本保证服务质量和进度，每项得2-3 分；内容不完善或缺项，该项不得分。</w:t>
            </w:r>
          </w:p>
        </w:tc>
      </w:tr>
      <w:tr w14:paraId="1E02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6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B533F3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服务业绩</w:t>
            </w:r>
          </w:p>
        </w:tc>
        <w:tc>
          <w:tcPr>
            <w:tcW w:w="72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C1E69A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  <w:r>
              <w:t>0分</w:t>
            </w:r>
          </w:p>
        </w:tc>
        <w:tc>
          <w:tcPr>
            <w:tcW w:w="695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51B16A">
            <w:pPr>
              <w:pStyle w:val="2"/>
              <w:ind w:left="0" w:leftChars="0" w:firstLine="0" w:firstLineChars="0"/>
              <w:rPr>
                <w:rFonts w:hint="eastAsia" w:ascii="Arial" w:hAnsi="Arial" w:eastAsia="等线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eastAsia="zh-CN"/>
              </w:rPr>
              <w:t>公司提供近三年与医疗机构服务数量，并提提供签订协议的复印件，每个项目加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val="en-US" w:eastAsia="zh-CN"/>
              </w:rPr>
              <w:t>2分，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</w:rPr>
              <w:t>最多得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</w:rPr>
              <w:t>分。</w:t>
            </w:r>
          </w:p>
          <w:p w14:paraId="672F7F22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val="en-US" w:eastAsia="zh-CN" w:bidi="ar-SA"/>
              </w:rPr>
              <w:t>注：类似业绩</w:t>
            </w:r>
            <w:r>
              <w:rPr>
                <w:rFonts w:hint="eastAsia" w:cs="Arial"/>
                <w:kern w:val="0"/>
                <w:sz w:val="22"/>
                <w:szCs w:val="22"/>
                <w:lang w:val="en-US" w:eastAsia="zh-CN" w:bidi="ar-SA"/>
              </w:rPr>
              <w:t>需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val="en-US" w:eastAsia="zh-CN" w:bidi="ar-SA"/>
              </w:rPr>
              <w:t>供应商</w:t>
            </w:r>
            <w:r>
              <w:rPr>
                <w:rFonts w:hint="eastAsia" w:cs="Arial"/>
                <w:kern w:val="0"/>
                <w:sz w:val="22"/>
                <w:szCs w:val="22"/>
                <w:lang w:val="en-US" w:eastAsia="zh-CN" w:bidi="ar-SA"/>
              </w:rPr>
              <w:t>提供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val="en-US" w:eastAsia="zh-CN" w:bidi="ar-SA"/>
              </w:rPr>
              <w:t>为相关医院出具的电</w:t>
            </w:r>
            <w:r>
              <w:rPr>
                <w:rFonts w:hint="eastAsia" w:cs="Arial"/>
                <w:kern w:val="0"/>
                <w:sz w:val="22"/>
                <w:szCs w:val="22"/>
                <w:lang w:val="en-US" w:eastAsia="zh-CN" w:bidi="ar-SA"/>
              </w:rPr>
              <w:t>子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val="en-US" w:eastAsia="zh-CN" w:bidi="ar-SA"/>
              </w:rPr>
              <w:t>保单</w:t>
            </w:r>
            <w:r>
              <w:rPr>
                <w:rFonts w:hint="eastAsia" w:cs="Arial"/>
                <w:kern w:val="0"/>
                <w:sz w:val="22"/>
                <w:szCs w:val="22"/>
                <w:lang w:val="en-US" w:eastAsia="zh-CN" w:bidi="ar-SA"/>
              </w:rPr>
              <w:t>或合作协议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val="en-US" w:eastAsia="zh-CN" w:bidi="ar-SA"/>
              </w:rPr>
              <w:t>。</w:t>
            </w:r>
          </w:p>
        </w:tc>
      </w:tr>
      <w:tr w14:paraId="51B6A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6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05DC8C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eastAsia="等线"/>
                <w:lang w:val="en-US" w:eastAsia="zh-CN"/>
              </w:rPr>
            </w:pPr>
            <w:r>
              <w:t>服务</w:t>
            </w:r>
            <w:r>
              <w:rPr>
                <w:rFonts w:hint="eastAsia"/>
                <w:lang w:eastAsia="zh-CN"/>
              </w:rPr>
              <w:t>承诺</w:t>
            </w:r>
          </w:p>
        </w:tc>
        <w:tc>
          <w:tcPr>
            <w:tcW w:w="72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8EA1E0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right"/>
            </w:pPr>
            <w:r>
              <w:rPr>
                <w:rFonts w:hint="eastAsia"/>
                <w:lang w:val="en-US" w:eastAsia="zh-CN"/>
              </w:rPr>
              <w:t>2</w:t>
            </w:r>
            <w:r>
              <w:t>0分</w:t>
            </w:r>
          </w:p>
        </w:tc>
        <w:tc>
          <w:tcPr>
            <w:tcW w:w="695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164EEB">
            <w:pPr>
              <w:pStyle w:val="9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Arial" w:hAnsi="Arial" w:eastAsia="等线" w:cs="Arial"/>
                <w:sz w:val="22"/>
                <w:szCs w:val="22"/>
              </w:rPr>
              <w:t>（1）</w:t>
            </w:r>
            <w:r>
              <w:rPr>
                <w:rFonts w:hint="eastAsia"/>
              </w:rPr>
              <w:t>对服务响应时间、处理问题速度</w:t>
            </w:r>
            <w:r>
              <w:t>（明确响应时间及解决时限）</w:t>
            </w:r>
            <w:r>
              <w:rPr>
                <w:rFonts w:hint="eastAsia"/>
              </w:rPr>
              <w:t>、问题解决办法等的承诺及承诺保障措施进行综合评审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每项得1-5分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最高得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分。</w:t>
            </w:r>
          </w:p>
          <w:p w14:paraId="4778C17C">
            <w:pPr>
              <w:pStyle w:val="9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Arial" w:hAnsi="Arial" w:eastAsia="等线" w:cs="Arial"/>
                <w:sz w:val="22"/>
                <w:szCs w:val="22"/>
              </w:rPr>
              <w:t>（2）</w:t>
            </w:r>
            <w:r>
              <w:rPr>
                <w:rFonts w:hint="eastAsia"/>
                <w:lang w:eastAsia="zh-CN"/>
              </w:rPr>
              <w:t>根据科室工作，要求</w:t>
            </w:r>
            <w:r>
              <w:rPr>
                <w:rFonts w:hint="eastAsia"/>
                <w:lang w:val="en-US" w:eastAsia="zh-CN"/>
              </w:rPr>
              <w:t>7*24小时工作制，</w:t>
            </w:r>
            <w:r>
              <w:t>得</w:t>
            </w:r>
            <w:r>
              <w:rPr>
                <w:rFonts w:hint="eastAsia"/>
                <w:lang w:val="en-US" w:eastAsia="zh-CN"/>
              </w:rPr>
              <w:t>5</w:t>
            </w:r>
            <w:r>
              <w:t>分；</w:t>
            </w:r>
          </w:p>
          <w:p w14:paraId="4728DC5F">
            <w:pPr>
              <w:pStyle w:val="9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Arial" w:hAnsi="Arial" w:eastAsia="等线" w:cs="Arial"/>
                <w:sz w:val="22"/>
                <w:szCs w:val="22"/>
              </w:rPr>
              <w:t>（</w:t>
            </w:r>
            <w:r>
              <w:rPr>
                <w:rFonts w:hint="eastAsia" w:cs="Arial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Arial" w:hAnsi="Arial" w:eastAsia="等线" w:cs="Arial"/>
                <w:sz w:val="22"/>
                <w:szCs w:val="22"/>
              </w:rPr>
              <w:t>）</w:t>
            </w:r>
            <w:r>
              <w:rPr>
                <w:rFonts w:hint="eastAsia"/>
              </w:rPr>
              <w:t>协助医院进行纠纷处理工作</w:t>
            </w:r>
            <w:r>
              <w:rPr>
                <w:rFonts w:hint="eastAsia"/>
                <w:lang w:eastAsia="zh-CN"/>
              </w:rPr>
              <w:t>，得</w:t>
            </w:r>
            <w:r>
              <w:rPr>
                <w:rFonts w:hint="eastAsia"/>
                <w:lang w:val="en-US" w:eastAsia="zh-CN"/>
              </w:rPr>
              <w:t>5分</w:t>
            </w:r>
            <w:r>
              <w:rPr>
                <w:rFonts w:hint="eastAsia"/>
                <w:lang w:eastAsia="zh-CN"/>
              </w:rPr>
              <w:t>。</w:t>
            </w:r>
          </w:p>
          <w:p w14:paraId="54B2A188">
            <w:pPr>
              <w:pStyle w:val="9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  <w:lang w:eastAsia="zh-CN"/>
              </w:rPr>
              <w:t>）协助主管</w:t>
            </w:r>
            <w:r>
              <w:rPr>
                <w:rFonts w:hint="eastAsia"/>
              </w:rPr>
              <w:t>科室</w:t>
            </w:r>
            <w:r>
              <w:rPr>
                <w:rFonts w:hint="eastAsia"/>
                <w:lang w:eastAsia="zh-CN"/>
              </w:rPr>
              <w:t>为驻点科室提供</w:t>
            </w:r>
            <w:r>
              <w:rPr>
                <w:rFonts w:hint="eastAsia"/>
              </w:rPr>
              <w:t>法律法规培训</w:t>
            </w:r>
            <w:r>
              <w:rPr>
                <w:rFonts w:hint="eastAsia"/>
                <w:lang w:eastAsia="zh-CN"/>
              </w:rPr>
              <w:t>，得</w:t>
            </w:r>
            <w:r>
              <w:rPr>
                <w:rFonts w:hint="eastAsia"/>
                <w:lang w:val="en-US" w:eastAsia="zh-CN"/>
              </w:rPr>
              <w:t>5分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59B83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6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98149C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专业服务团队</w:t>
            </w:r>
          </w:p>
        </w:tc>
        <w:tc>
          <w:tcPr>
            <w:tcW w:w="72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13B37C">
            <w:pPr>
              <w:pStyle w:val="9"/>
              <w:snapToGrid w:val="0"/>
              <w:spacing w:line="240" w:lineRule="auto"/>
              <w:ind w:left="0" w:leftChars="0" w:right="0" w:rightChars="0" w:firstLine="0" w:firstLineChars="0"/>
              <w:jc w:val="right"/>
            </w:pPr>
            <w:r>
              <w:rPr>
                <w:rFonts w:hint="eastAsia"/>
                <w:lang w:val="en-US" w:eastAsia="zh-CN"/>
              </w:rPr>
              <w:t>1</w:t>
            </w:r>
            <w:r>
              <w:t>0分</w:t>
            </w:r>
          </w:p>
        </w:tc>
        <w:tc>
          <w:tcPr>
            <w:tcW w:w="695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E2DE44">
            <w:pPr>
              <w:spacing w:line="360" w:lineRule="auto"/>
              <w:jc w:val="left"/>
              <w:rPr>
                <w:rFonts w:hint="eastAsia" w:ascii="Arial" w:hAnsi="Arial" w:eastAsia="等线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等线" w:cs="Arial"/>
                <w:kern w:val="0"/>
                <w:sz w:val="22"/>
                <w:szCs w:val="22"/>
              </w:rPr>
              <w:t>团队专业人员组成结构合理，人员安排充足，各岗位人员配备齐全、岗位职责分工明确，工作人员的专业技能、职业素养、工作经验能够保障本项目顺利实施。</w:t>
            </w:r>
          </w:p>
          <w:p w14:paraId="10DB504B">
            <w:pPr>
              <w:spacing w:line="360" w:lineRule="auto"/>
              <w:jc w:val="left"/>
              <w:rPr>
                <w:rFonts w:hint="eastAsia" w:ascii="Arial" w:hAnsi="Arial" w:eastAsia="等线" w:cs="Arial"/>
                <w:kern w:val="0"/>
                <w:sz w:val="22"/>
                <w:szCs w:val="22"/>
              </w:rPr>
            </w:pPr>
            <w:r>
              <w:rPr>
                <w:rFonts w:hint="eastAsia" w:ascii="Arial" w:hAnsi="Arial" w:eastAsia="等线" w:cs="Arial"/>
                <w:kern w:val="0"/>
                <w:sz w:val="22"/>
                <w:szCs w:val="22"/>
              </w:rPr>
              <w:t>（1）拟投入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val="en-US" w:eastAsia="zh-CN"/>
              </w:rPr>
              <w:t>本项目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</w:rPr>
              <w:t>见证团队人数不少于5人，须提供公司与见证员签订的劳动合同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eastAsia="zh-CN"/>
              </w:rPr>
              <w:t>，每提供1人得1分，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</w:rPr>
              <w:t>最高得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</w:rPr>
              <w:t>分。</w:t>
            </w:r>
          </w:p>
          <w:p w14:paraId="25F72DF9">
            <w:pPr>
              <w:spacing w:line="360" w:lineRule="auto"/>
              <w:jc w:val="left"/>
            </w:pPr>
            <w:r>
              <w:rPr>
                <w:rFonts w:hint="eastAsia" w:ascii="Arial" w:hAnsi="Arial" w:eastAsia="等线" w:cs="Arial"/>
                <w:kern w:val="0"/>
                <w:sz w:val="22"/>
                <w:szCs w:val="22"/>
              </w:rPr>
              <w:t>（2）拟投入本项目见证团队职责明确，分工清晰，人员构成及岗位设置合理，每项得1-5分，最多得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Arial" w:hAnsi="Arial" w:eastAsia="等线" w:cs="Arial"/>
                <w:kern w:val="0"/>
                <w:sz w:val="22"/>
                <w:szCs w:val="22"/>
              </w:rPr>
              <w:t>分。</w:t>
            </w:r>
          </w:p>
        </w:tc>
      </w:tr>
    </w:tbl>
    <w:p w14:paraId="7DDA8C2A">
      <w:pPr>
        <w:pStyle w:val="3"/>
        <w:bidi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五、其他说明</w:t>
      </w:r>
    </w:p>
    <w:p w14:paraId="3775CB36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1.本次比选不收取评审费，报名机构因参与比选产生的交通、材料制作等费用自行承担；</w:t>
      </w:r>
    </w:p>
    <w:p w14:paraId="265F1D13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2.报名材料需真实有效，若发现弄虚作假，立即取消报名资格，并列入我院合作机构黑名单；</w:t>
      </w:r>
    </w:p>
    <w:p w14:paraId="0BD81D9E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3.中选机构需在收到中选通知后10个工作日内与我院签订合作协议，逾期未签视为自动放弃；</w:t>
      </w:r>
    </w:p>
    <w:p w14:paraId="00D287D3">
      <w:pPr>
        <w:spacing w:after="120" w:line="360" w:lineRule="auto"/>
        <w:ind w:firstLine="60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30"/>
          <w:szCs w:val="30"/>
          <w:u w:val="none"/>
          <w:lang w:val="en-US" w:eastAsia="zh-CN"/>
        </w:rPr>
        <w:t>4.本通知最终解释权归滕州市妇幼保健院（滕州市儿童医院）所有。</w:t>
      </w:r>
    </w:p>
    <w:p w14:paraId="60075F7A">
      <w:pPr>
        <w:pStyle w:val="2"/>
        <w:rPr>
          <w:rFonts w:hint="eastAsia"/>
          <w:lang w:val="en-US" w:eastAsia="zh-CN"/>
        </w:rPr>
      </w:pPr>
    </w:p>
    <w:p w14:paraId="33A5B588">
      <w:pPr>
        <w:pStyle w:val="9"/>
        <w:ind w:firstLine="320" w:firstLineChars="100"/>
        <w:jc w:val="center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                  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滕州市妇幼保健院</w:t>
      </w:r>
    </w:p>
    <w:p w14:paraId="15664B64">
      <w:pPr>
        <w:pStyle w:val="9"/>
        <w:ind w:firstLine="320" w:firstLineChars="100"/>
        <w:jc w:val="center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                  （滕州市儿童医院）</w:t>
      </w:r>
    </w:p>
    <w:p w14:paraId="410CE011">
      <w:pPr>
        <w:pStyle w:val="9"/>
        <w:ind w:firstLine="320" w:firstLineChars="100"/>
        <w:jc w:val="center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                  2026年5月12日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A1729AFF-ECF3-4A07-AAF6-056763200BF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E488359-6975-4D7D-AB61-7D57A058BAD3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17E1B921-9A07-4A9F-A175-4F9882DB640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4A2362C9-74A3-4138-9FF2-716CBC5D36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F486BAA-72BE-4D46-8AAF-8487160D43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1B3B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53CA0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53CA0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F5DF2"/>
    <w:rsid w:val="07D11336"/>
    <w:rsid w:val="0808579C"/>
    <w:rsid w:val="09F14739"/>
    <w:rsid w:val="0CEC44E3"/>
    <w:rsid w:val="0D725B91"/>
    <w:rsid w:val="0F8A5D14"/>
    <w:rsid w:val="0FA212A0"/>
    <w:rsid w:val="11CB00AF"/>
    <w:rsid w:val="12850115"/>
    <w:rsid w:val="179D539B"/>
    <w:rsid w:val="1C116580"/>
    <w:rsid w:val="1EF74148"/>
    <w:rsid w:val="22731B2C"/>
    <w:rsid w:val="2E0028ED"/>
    <w:rsid w:val="335808C5"/>
    <w:rsid w:val="380069F4"/>
    <w:rsid w:val="407C67C9"/>
    <w:rsid w:val="47002672"/>
    <w:rsid w:val="48F21CA5"/>
    <w:rsid w:val="5480314D"/>
    <w:rsid w:val="56CF0962"/>
    <w:rsid w:val="57362D58"/>
    <w:rsid w:val="5DF7275B"/>
    <w:rsid w:val="5F2B6F1B"/>
    <w:rsid w:val="62C92CD3"/>
    <w:rsid w:val="678621C2"/>
    <w:rsid w:val="6AC16985"/>
    <w:rsid w:val="6BD44DB1"/>
    <w:rsid w:val="6C217315"/>
    <w:rsid w:val="6E557B10"/>
    <w:rsid w:val="6F7278DC"/>
    <w:rsid w:val="71B8646D"/>
    <w:rsid w:val="7965170B"/>
    <w:rsid w:val="7A7E03EF"/>
    <w:rsid w:val="7B5D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AS正文"/>
    <w:basedOn w:val="1"/>
    <w:qFormat/>
    <w:uiPriority w:val="0"/>
    <w:pPr>
      <w:spacing w:line="360" w:lineRule="auto"/>
      <w:ind w:right="181" w:firstLine="480" w:firstLineChars="200"/>
    </w:pPr>
    <w:rPr>
      <w:rFonts w:ascii="Verdana" w:hAnsi="Verdana"/>
      <w:sz w:val="24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1045</Words>
  <Characters>1071</Characters>
  <Lines>0</Lines>
  <Paragraphs>0</Paragraphs>
  <TotalTime>7</TotalTime>
  <ScaleCrop>false</ScaleCrop>
  <LinksUpToDate>false</LinksUpToDate>
  <CharactersWithSpaces>1075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2025-11-05T08:40:00Z</dcterms:created>
  <dc:creator>Administrator</dc:creator>
  <cp:lastModifiedBy>清风笑烟雨     ⃢     -     ⃢</cp:lastModifiedBy>
  <dcterms:modified xsi:type="dcterms:W3CDTF">2026-05-12T06:37:08Z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eyJoZGlkIjoiOTIzOGM5OGQ1NzQyYmE0NzZmM2E4YTZiZWNiZDk1YWYiLCJ1c2VySWQiOiI3OTIzNTkxMTQifQ==</vt:lpwstr>
  </property>
  <property fmtid="{D5CDD505-2E9C-101B-9397-08002B2CF9AE}" pid="4" name="ICV">
    <vt:lpwstr>DB5BEACD40BD45D08E69ACE7D9654DC4_12</vt:lpwstr>
  </property>
</Properties>
</file>